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6F0A" w14:textId="77777777" w:rsidR="003C70DF" w:rsidRDefault="003C70DF" w:rsidP="00F148BC">
      <w:pPr>
        <w:jc w:val="center"/>
        <w:rPr>
          <w:rFonts w:ascii="Arial" w:hAnsi="Arial" w:cs="Arial"/>
          <w:b/>
          <w:sz w:val="28"/>
          <w:szCs w:val="28"/>
        </w:rPr>
      </w:pPr>
    </w:p>
    <w:p w14:paraId="415C2CC7" w14:textId="49502CF9" w:rsidR="00C5447E" w:rsidRPr="00A91BD5" w:rsidRDefault="00A91BD5" w:rsidP="00F148BC">
      <w:pPr>
        <w:jc w:val="center"/>
        <w:rPr>
          <w:rFonts w:ascii="Arial" w:hAnsi="Arial" w:cs="Arial"/>
          <w:b/>
          <w:sz w:val="32"/>
          <w:szCs w:val="32"/>
        </w:rPr>
      </w:pPr>
      <w:r w:rsidRPr="00A91BD5">
        <w:rPr>
          <w:rFonts w:ascii="Arial" w:hAnsi="Arial" w:cs="Arial"/>
          <w:b/>
          <w:sz w:val="32"/>
          <w:szCs w:val="32"/>
        </w:rPr>
        <w:t>R</w:t>
      </w:r>
      <w:r w:rsidR="00F148BC" w:rsidRPr="00A91BD5">
        <w:rPr>
          <w:rFonts w:ascii="Arial" w:hAnsi="Arial" w:cs="Arial"/>
          <w:b/>
          <w:sz w:val="32"/>
          <w:szCs w:val="32"/>
        </w:rPr>
        <w:t>eport to Oxfordshire Growth Board</w:t>
      </w:r>
    </w:p>
    <w:p w14:paraId="4E192BA1" w14:textId="31D9F05F" w:rsidR="00F148BC" w:rsidRPr="00A91BD5" w:rsidRDefault="00F148BC" w:rsidP="00F148BC">
      <w:pPr>
        <w:jc w:val="center"/>
        <w:rPr>
          <w:rFonts w:ascii="Arial" w:hAnsi="Arial" w:cs="Arial"/>
          <w:b/>
          <w:sz w:val="32"/>
          <w:szCs w:val="32"/>
        </w:rPr>
      </w:pPr>
      <w:r w:rsidRPr="00A91BD5">
        <w:rPr>
          <w:rFonts w:ascii="Arial" w:hAnsi="Arial" w:cs="Arial"/>
          <w:b/>
          <w:sz w:val="32"/>
          <w:szCs w:val="32"/>
        </w:rPr>
        <w:t>Oxfordshire Housing and Growth Deal</w:t>
      </w:r>
    </w:p>
    <w:p w14:paraId="082EA25E" w14:textId="77777777" w:rsidR="005824CC" w:rsidRPr="003048F2" w:rsidRDefault="005824CC" w:rsidP="003048F2">
      <w:pPr>
        <w:jc w:val="both"/>
        <w:rPr>
          <w:rFonts w:ascii="Arial" w:hAnsi="Arial" w:cs="Arial"/>
          <w:szCs w:val="24"/>
        </w:rPr>
      </w:pPr>
    </w:p>
    <w:p w14:paraId="00179BFC" w14:textId="3EDEBDF3" w:rsidR="00C5447E" w:rsidRDefault="00F148BC" w:rsidP="004C4B90">
      <w:pPr>
        <w:pStyle w:val="Heading1"/>
        <w:numPr>
          <w:ilvl w:val="0"/>
          <w:numId w:val="0"/>
        </w:numPr>
        <w:spacing w:before="0" w:after="0"/>
        <w:ind w:left="360" w:hanging="360"/>
        <w:jc w:val="both"/>
        <w:rPr>
          <w:rFonts w:ascii="Arial" w:hAnsi="Arial" w:cs="Arial"/>
        </w:rPr>
      </w:pPr>
      <w:r>
        <w:rPr>
          <w:rFonts w:ascii="Arial" w:hAnsi="Arial" w:cs="Arial"/>
        </w:rPr>
        <w:t xml:space="preserve">Report </w:t>
      </w:r>
      <w:r w:rsidR="00F278AE" w:rsidRPr="003048F2">
        <w:rPr>
          <w:rFonts w:ascii="Arial" w:hAnsi="Arial" w:cs="Arial"/>
        </w:rPr>
        <w:t>PURPOSE</w:t>
      </w:r>
    </w:p>
    <w:p w14:paraId="12B2BEC2" w14:textId="77777777" w:rsidR="003C70DF" w:rsidRDefault="003C70DF" w:rsidP="003048F2">
      <w:pPr>
        <w:ind w:left="426" w:hanging="426"/>
        <w:jc w:val="both"/>
        <w:rPr>
          <w:rFonts w:ascii="Arial" w:hAnsi="Arial" w:cs="Arial"/>
          <w:szCs w:val="24"/>
        </w:rPr>
      </w:pPr>
    </w:p>
    <w:p w14:paraId="2CBE4257" w14:textId="154B2FFA" w:rsidR="008E27FC" w:rsidRPr="004C4B90" w:rsidRDefault="005D24EA" w:rsidP="004C4B90">
      <w:pPr>
        <w:pStyle w:val="ListParagraph"/>
        <w:numPr>
          <w:ilvl w:val="0"/>
          <w:numId w:val="45"/>
        </w:numPr>
        <w:jc w:val="both"/>
        <w:rPr>
          <w:rFonts w:ascii="Arial" w:hAnsi="Arial" w:cs="Arial"/>
          <w:szCs w:val="24"/>
        </w:rPr>
      </w:pPr>
      <w:r w:rsidRPr="004C4B90">
        <w:rPr>
          <w:rFonts w:ascii="Arial" w:hAnsi="Arial" w:cs="Arial"/>
          <w:szCs w:val="24"/>
        </w:rPr>
        <w:t>T</w:t>
      </w:r>
      <w:r w:rsidR="00070217" w:rsidRPr="004C4B90">
        <w:rPr>
          <w:rFonts w:ascii="Arial" w:hAnsi="Arial" w:cs="Arial"/>
          <w:szCs w:val="24"/>
        </w:rPr>
        <w:t>he purpose of this report is t</w:t>
      </w:r>
      <w:r w:rsidRPr="004C4B90">
        <w:rPr>
          <w:rFonts w:ascii="Arial" w:hAnsi="Arial" w:cs="Arial"/>
          <w:szCs w:val="24"/>
        </w:rPr>
        <w:t xml:space="preserve">o </w:t>
      </w:r>
      <w:r w:rsidR="008E27FC" w:rsidRPr="004C4B90">
        <w:rPr>
          <w:rFonts w:ascii="Arial" w:hAnsi="Arial" w:cs="Arial"/>
          <w:szCs w:val="24"/>
        </w:rPr>
        <w:t>introduce and seek the endorsement of the Growth Board to the</w:t>
      </w:r>
      <w:r w:rsidRPr="004C4B90">
        <w:rPr>
          <w:rFonts w:ascii="Arial" w:hAnsi="Arial" w:cs="Arial"/>
          <w:szCs w:val="24"/>
        </w:rPr>
        <w:t xml:space="preserve"> Oxfordshire Housing and Growth Deal </w:t>
      </w:r>
      <w:r w:rsidR="008E27FC" w:rsidRPr="004C4B90">
        <w:rPr>
          <w:rFonts w:ascii="Arial" w:hAnsi="Arial" w:cs="Arial"/>
          <w:szCs w:val="24"/>
        </w:rPr>
        <w:t>(the Deal)</w:t>
      </w:r>
      <w:r w:rsidR="006E3D4E" w:rsidRPr="004C4B90">
        <w:rPr>
          <w:rFonts w:ascii="Arial" w:hAnsi="Arial" w:cs="Arial"/>
          <w:szCs w:val="24"/>
        </w:rPr>
        <w:t>,</w:t>
      </w:r>
      <w:r w:rsidR="009F53D2" w:rsidRPr="004C4B90">
        <w:rPr>
          <w:rFonts w:ascii="Arial" w:hAnsi="Arial" w:cs="Arial"/>
          <w:szCs w:val="24"/>
        </w:rPr>
        <w:t xml:space="preserve"> </w:t>
      </w:r>
      <w:r w:rsidRPr="004C4B90">
        <w:rPr>
          <w:rFonts w:ascii="Arial" w:hAnsi="Arial" w:cs="Arial"/>
          <w:szCs w:val="24"/>
        </w:rPr>
        <w:t>announced by Government in the November Budget</w:t>
      </w:r>
      <w:r w:rsidR="008E27FC" w:rsidRPr="004C4B90">
        <w:rPr>
          <w:rFonts w:ascii="Arial" w:hAnsi="Arial" w:cs="Arial"/>
          <w:szCs w:val="24"/>
        </w:rPr>
        <w:t>.</w:t>
      </w:r>
    </w:p>
    <w:p w14:paraId="21EB893C" w14:textId="77777777" w:rsidR="008E27FC" w:rsidRDefault="008E27FC" w:rsidP="003048F2">
      <w:pPr>
        <w:ind w:left="426" w:hanging="426"/>
        <w:jc w:val="both"/>
        <w:rPr>
          <w:rFonts w:ascii="Arial" w:hAnsi="Arial" w:cs="Arial"/>
          <w:szCs w:val="24"/>
        </w:rPr>
      </w:pPr>
    </w:p>
    <w:p w14:paraId="4A4D24D9" w14:textId="13730CD9" w:rsidR="008E27FC" w:rsidRPr="004C4B90" w:rsidRDefault="008E27FC" w:rsidP="004C4B90">
      <w:pPr>
        <w:pStyle w:val="ListParagraph"/>
        <w:numPr>
          <w:ilvl w:val="0"/>
          <w:numId w:val="45"/>
        </w:numPr>
        <w:jc w:val="both"/>
        <w:rPr>
          <w:rFonts w:ascii="Arial" w:hAnsi="Arial" w:cs="Arial"/>
          <w:szCs w:val="24"/>
        </w:rPr>
      </w:pPr>
      <w:r w:rsidRPr="004C4B90">
        <w:rPr>
          <w:rFonts w:ascii="Arial" w:hAnsi="Arial" w:cs="Arial"/>
          <w:szCs w:val="24"/>
        </w:rPr>
        <w:t xml:space="preserve">The Deal </w:t>
      </w:r>
      <w:r w:rsidR="005824CC" w:rsidRPr="004C4B90">
        <w:rPr>
          <w:rFonts w:ascii="Arial" w:hAnsi="Arial" w:cs="Arial"/>
          <w:szCs w:val="24"/>
        </w:rPr>
        <w:t>provides £215 million of additional government funding for Oxfordshire</w:t>
      </w:r>
      <w:r w:rsidR="005D24EA" w:rsidRPr="004C4B90">
        <w:rPr>
          <w:rFonts w:ascii="Arial" w:hAnsi="Arial" w:cs="Arial"/>
          <w:szCs w:val="24"/>
        </w:rPr>
        <w:t xml:space="preserve">, </w:t>
      </w:r>
      <w:r w:rsidRPr="004C4B90">
        <w:rPr>
          <w:rFonts w:ascii="Arial" w:hAnsi="Arial" w:cs="Arial"/>
          <w:szCs w:val="24"/>
        </w:rPr>
        <w:t xml:space="preserve">to deliver </w:t>
      </w:r>
      <w:r w:rsidR="00593B98" w:rsidRPr="004C4B90">
        <w:rPr>
          <w:rFonts w:ascii="Arial" w:hAnsi="Arial" w:cs="Arial"/>
          <w:szCs w:val="24"/>
        </w:rPr>
        <w:t xml:space="preserve">the </w:t>
      </w:r>
      <w:r w:rsidRPr="004C4B90">
        <w:rPr>
          <w:rFonts w:ascii="Arial" w:hAnsi="Arial" w:cs="Arial"/>
          <w:szCs w:val="24"/>
        </w:rPr>
        <w:t xml:space="preserve">key infrastructure required to </w:t>
      </w:r>
      <w:r w:rsidR="00593B98" w:rsidRPr="004C4B90">
        <w:rPr>
          <w:rFonts w:ascii="Arial" w:hAnsi="Arial" w:cs="Arial"/>
          <w:szCs w:val="24"/>
        </w:rPr>
        <w:t xml:space="preserve">underpin </w:t>
      </w:r>
      <w:r w:rsidRPr="004C4B90">
        <w:rPr>
          <w:rFonts w:ascii="Arial" w:hAnsi="Arial" w:cs="Arial"/>
          <w:szCs w:val="24"/>
        </w:rPr>
        <w:t xml:space="preserve">proposed housing development, </w:t>
      </w:r>
      <w:r w:rsidR="00593B98" w:rsidRPr="004C4B90">
        <w:rPr>
          <w:rFonts w:ascii="Arial" w:hAnsi="Arial" w:cs="Arial"/>
          <w:szCs w:val="24"/>
        </w:rPr>
        <w:t xml:space="preserve">and </w:t>
      </w:r>
      <w:r w:rsidRPr="004C4B90">
        <w:rPr>
          <w:rFonts w:ascii="Arial" w:hAnsi="Arial" w:cs="Arial"/>
          <w:szCs w:val="24"/>
        </w:rPr>
        <w:t>additional funds to increase the supply of affordable housing</w:t>
      </w:r>
      <w:r w:rsidR="00593B98" w:rsidRPr="004C4B90">
        <w:rPr>
          <w:rFonts w:ascii="Arial" w:hAnsi="Arial" w:cs="Arial"/>
          <w:szCs w:val="24"/>
        </w:rPr>
        <w:t>. In addition</w:t>
      </w:r>
      <w:r w:rsidR="00A91BD5">
        <w:rPr>
          <w:rFonts w:ascii="Arial" w:hAnsi="Arial" w:cs="Arial"/>
          <w:szCs w:val="24"/>
        </w:rPr>
        <w:t>,</w:t>
      </w:r>
      <w:r w:rsidR="00593B98" w:rsidRPr="004C4B90">
        <w:rPr>
          <w:rFonts w:ascii="Arial" w:hAnsi="Arial" w:cs="Arial"/>
          <w:szCs w:val="24"/>
        </w:rPr>
        <w:t xml:space="preserve"> the Deal provides</w:t>
      </w:r>
      <w:r w:rsidR="009F53D2" w:rsidRPr="004C4B90">
        <w:rPr>
          <w:rFonts w:ascii="Arial" w:hAnsi="Arial" w:cs="Arial"/>
          <w:szCs w:val="24"/>
        </w:rPr>
        <w:t xml:space="preserve"> a</w:t>
      </w:r>
      <w:r w:rsidR="005D24EA" w:rsidRPr="004C4B90">
        <w:rPr>
          <w:rFonts w:ascii="Arial" w:hAnsi="Arial" w:cs="Arial"/>
          <w:szCs w:val="24"/>
        </w:rPr>
        <w:t xml:space="preserve"> package of planning freedoms and flexibilities for the Oxfordshire </w:t>
      </w:r>
      <w:r w:rsidR="00593B98" w:rsidRPr="004C4B90">
        <w:rPr>
          <w:rFonts w:ascii="Arial" w:hAnsi="Arial" w:cs="Arial"/>
          <w:szCs w:val="24"/>
        </w:rPr>
        <w:t>Local Planning A</w:t>
      </w:r>
      <w:r w:rsidR="005D24EA" w:rsidRPr="004C4B90">
        <w:rPr>
          <w:rFonts w:ascii="Arial" w:hAnsi="Arial" w:cs="Arial"/>
          <w:szCs w:val="24"/>
        </w:rPr>
        <w:t>uthorities</w:t>
      </w:r>
      <w:r w:rsidRPr="004C4B90">
        <w:rPr>
          <w:rFonts w:ascii="Arial" w:hAnsi="Arial" w:cs="Arial"/>
          <w:szCs w:val="24"/>
        </w:rPr>
        <w:t xml:space="preserve"> that will offer protection from speculative development whilst we complete a countywide </w:t>
      </w:r>
      <w:r w:rsidR="00593B98" w:rsidRPr="004C4B90">
        <w:rPr>
          <w:rFonts w:ascii="Arial" w:hAnsi="Arial" w:cs="Arial"/>
          <w:szCs w:val="24"/>
        </w:rPr>
        <w:t>J</w:t>
      </w:r>
      <w:r w:rsidRPr="004C4B90">
        <w:rPr>
          <w:rFonts w:ascii="Arial" w:hAnsi="Arial" w:cs="Arial"/>
          <w:szCs w:val="24"/>
        </w:rPr>
        <w:t>oint Statutory Spatial Plan to 2050</w:t>
      </w:r>
      <w:r w:rsidR="00835CEE" w:rsidRPr="004C4B90">
        <w:rPr>
          <w:rFonts w:ascii="Arial" w:hAnsi="Arial" w:cs="Arial"/>
          <w:szCs w:val="24"/>
        </w:rPr>
        <w:t xml:space="preserve">. </w:t>
      </w:r>
    </w:p>
    <w:p w14:paraId="5E6A2EC1" w14:textId="77777777" w:rsidR="008E27FC" w:rsidRDefault="008E27FC" w:rsidP="003048F2">
      <w:pPr>
        <w:ind w:left="426" w:hanging="426"/>
        <w:jc w:val="both"/>
        <w:rPr>
          <w:rFonts w:ascii="Arial" w:hAnsi="Arial" w:cs="Arial"/>
          <w:szCs w:val="24"/>
        </w:rPr>
      </w:pPr>
    </w:p>
    <w:p w14:paraId="46F2FC0E" w14:textId="79EE7BA2" w:rsidR="008E27FC" w:rsidRPr="004C4B90" w:rsidRDefault="00835CEE" w:rsidP="004C4B90">
      <w:pPr>
        <w:pStyle w:val="ListParagraph"/>
        <w:numPr>
          <w:ilvl w:val="0"/>
          <w:numId w:val="45"/>
        </w:numPr>
        <w:jc w:val="both"/>
        <w:rPr>
          <w:rFonts w:ascii="Arial" w:hAnsi="Arial" w:cs="Arial"/>
          <w:szCs w:val="24"/>
        </w:rPr>
      </w:pPr>
      <w:r w:rsidRPr="004C4B90">
        <w:rPr>
          <w:rFonts w:ascii="Arial" w:hAnsi="Arial" w:cs="Arial"/>
          <w:szCs w:val="24"/>
        </w:rPr>
        <w:t xml:space="preserve">The outline agreement </w:t>
      </w:r>
      <w:r w:rsidR="00070217" w:rsidRPr="004C4B90">
        <w:rPr>
          <w:rFonts w:ascii="Arial" w:hAnsi="Arial" w:cs="Arial"/>
          <w:szCs w:val="24"/>
        </w:rPr>
        <w:t xml:space="preserve">places the </w:t>
      </w:r>
      <w:r w:rsidR="008E27FC" w:rsidRPr="004C4B90">
        <w:rPr>
          <w:rFonts w:ascii="Arial" w:hAnsi="Arial" w:cs="Arial"/>
          <w:szCs w:val="24"/>
        </w:rPr>
        <w:t>Growth Board at the heart of the delivery regime for</w:t>
      </w:r>
      <w:r w:rsidR="00070217" w:rsidRPr="004C4B90">
        <w:rPr>
          <w:rFonts w:ascii="Arial" w:hAnsi="Arial" w:cs="Arial"/>
          <w:szCs w:val="24"/>
        </w:rPr>
        <w:t xml:space="preserve"> the D</w:t>
      </w:r>
      <w:r w:rsidR="008E27FC" w:rsidRPr="004C4B90">
        <w:rPr>
          <w:rFonts w:ascii="Arial" w:hAnsi="Arial" w:cs="Arial"/>
          <w:szCs w:val="24"/>
        </w:rPr>
        <w:t xml:space="preserve">eal but </w:t>
      </w:r>
      <w:r w:rsidRPr="004C4B90">
        <w:rPr>
          <w:rFonts w:ascii="Arial" w:hAnsi="Arial" w:cs="Arial"/>
          <w:szCs w:val="24"/>
        </w:rPr>
        <w:t>makes it cl</w:t>
      </w:r>
      <w:r w:rsidR="003048F2" w:rsidRPr="004C4B90">
        <w:rPr>
          <w:rFonts w:ascii="Arial" w:hAnsi="Arial" w:cs="Arial"/>
          <w:szCs w:val="24"/>
        </w:rPr>
        <w:t xml:space="preserve">ear that full agreement </w:t>
      </w:r>
      <w:r w:rsidR="00070217" w:rsidRPr="004C4B90">
        <w:rPr>
          <w:rFonts w:ascii="Arial" w:hAnsi="Arial" w:cs="Arial"/>
          <w:szCs w:val="24"/>
        </w:rPr>
        <w:t>i</w:t>
      </w:r>
      <w:r w:rsidRPr="004C4B90">
        <w:rPr>
          <w:rFonts w:ascii="Arial" w:hAnsi="Arial" w:cs="Arial"/>
          <w:szCs w:val="24"/>
        </w:rPr>
        <w:t xml:space="preserve">s subject to agreement by each </w:t>
      </w:r>
      <w:r w:rsidR="00070217" w:rsidRPr="004C4B90">
        <w:rPr>
          <w:rFonts w:ascii="Arial" w:hAnsi="Arial" w:cs="Arial"/>
          <w:szCs w:val="24"/>
        </w:rPr>
        <w:t xml:space="preserve">Oxfordshire </w:t>
      </w:r>
      <w:r w:rsidR="00593B98" w:rsidRPr="004C4B90">
        <w:rPr>
          <w:rFonts w:ascii="Arial" w:hAnsi="Arial" w:cs="Arial"/>
          <w:szCs w:val="24"/>
        </w:rPr>
        <w:t>council</w:t>
      </w:r>
      <w:r w:rsidRPr="004C4B90">
        <w:rPr>
          <w:rFonts w:ascii="Arial" w:hAnsi="Arial" w:cs="Arial"/>
          <w:szCs w:val="24"/>
        </w:rPr>
        <w:t xml:space="preserve"> and the </w:t>
      </w:r>
      <w:r w:rsidR="003E4558" w:rsidRPr="004C4B90">
        <w:rPr>
          <w:rFonts w:ascii="Arial" w:hAnsi="Arial" w:cs="Arial"/>
          <w:szCs w:val="24"/>
        </w:rPr>
        <w:t xml:space="preserve">Oxfordshire Local Enterprise </w:t>
      </w:r>
      <w:r w:rsidR="008E27FC" w:rsidRPr="004C4B90">
        <w:rPr>
          <w:rFonts w:ascii="Arial" w:hAnsi="Arial" w:cs="Arial"/>
          <w:szCs w:val="24"/>
        </w:rPr>
        <w:t>Partnership</w:t>
      </w:r>
      <w:r w:rsidR="003E4558" w:rsidRPr="004C4B90">
        <w:rPr>
          <w:rFonts w:ascii="Arial" w:hAnsi="Arial" w:cs="Arial"/>
          <w:szCs w:val="24"/>
        </w:rPr>
        <w:t xml:space="preserve"> (OxLEP)</w:t>
      </w:r>
      <w:r w:rsidR="008E27FC" w:rsidRPr="004C4B90">
        <w:rPr>
          <w:rFonts w:ascii="Arial" w:hAnsi="Arial" w:cs="Arial"/>
          <w:szCs w:val="24"/>
        </w:rPr>
        <w:t xml:space="preserve"> B</w:t>
      </w:r>
      <w:r w:rsidRPr="004C4B90">
        <w:rPr>
          <w:rFonts w:ascii="Arial" w:hAnsi="Arial" w:cs="Arial"/>
          <w:szCs w:val="24"/>
        </w:rPr>
        <w:t>oard</w:t>
      </w:r>
      <w:r w:rsidR="003E4558" w:rsidRPr="004C4B90">
        <w:rPr>
          <w:rFonts w:ascii="Arial" w:hAnsi="Arial" w:cs="Arial"/>
          <w:szCs w:val="24"/>
        </w:rPr>
        <w:t xml:space="preserve"> (referred to collectively as the “Oxfordshire Partners”)</w:t>
      </w:r>
      <w:r w:rsidR="00CC442E" w:rsidRPr="004C4B90">
        <w:rPr>
          <w:rFonts w:ascii="Arial" w:hAnsi="Arial" w:cs="Arial"/>
          <w:szCs w:val="24"/>
        </w:rPr>
        <w:t xml:space="preserve">. </w:t>
      </w:r>
      <w:r w:rsidR="008E27FC" w:rsidRPr="004C4B90">
        <w:rPr>
          <w:rFonts w:ascii="Arial" w:hAnsi="Arial" w:cs="Arial"/>
          <w:szCs w:val="24"/>
        </w:rPr>
        <w:t>The D</w:t>
      </w:r>
      <w:r w:rsidRPr="004C4B90">
        <w:rPr>
          <w:rFonts w:ascii="Arial" w:hAnsi="Arial" w:cs="Arial"/>
          <w:szCs w:val="24"/>
        </w:rPr>
        <w:t xml:space="preserve">eal also requires </w:t>
      </w:r>
      <w:r w:rsidR="00CC442E" w:rsidRPr="004C4B90">
        <w:rPr>
          <w:rFonts w:ascii="Arial" w:hAnsi="Arial" w:cs="Arial"/>
          <w:szCs w:val="24"/>
        </w:rPr>
        <w:t xml:space="preserve">the agreement of </w:t>
      </w:r>
      <w:r w:rsidRPr="004C4B90">
        <w:rPr>
          <w:rFonts w:ascii="Arial" w:hAnsi="Arial" w:cs="Arial"/>
          <w:szCs w:val="24"/>
        </w:rPr>
        <w:t xml:space="preserve">a detailed delivery plan by Oxfordshire Partners, </w:t>
      </w:r>
      <w:r w:rsidR="003048F2" w:rsidRPr="004C4B90">
        <w:rPr>
          <w:rFonts w:ascii="Arial" w:hAnsi="Arial" w:cs="Arial"/>
          <w:szCs w:val="24"/>
        </w:rPr>
        <w:t>Homes England</w:t>
      </w:r>
      <w:r w:rsidRPr="004C4B90">
        <w:rPr>
          <w:rFonts w:ascii="Arial" w:hAnsi="Arial" w:cs="Arial"/>
          <w:szCs w:val="24"/>
        </w:rPr>
        <w:t xml:space="preserve"> and </w:t>
      </w:r>
      <w:r w:rsidR="003048F2" w:rsidRPr="004C4B90">
        <w:rPr>
          <w:rFonts w:ascii="Arial" w:hAnsi="Arial" w:cs="Arial"/>
          <w:szCs w:val="24"/>
        </w:rPr>
        <w:t>the Ministry of Housing, Communities and Local Government (MHCLG)</w:t>
      </w:r>
      <w:r w:rsidRPr="004C4B90">
        <w:rPr>
          <w:rFonts w:ascii="Arial" w:hAnsi="Arial" w:cs="Arial"/>
          <w:szCs w:val="24"/>
        </w:rPr>
        <w:t xml:space="preserve"> by 31st January 2018.</w:t>
      </w:r>
    </w:p>
    <w:p w14:paraId="45C28BBC" w14:textId="77777777" w:rsidR="008E27FC" w:rsidRDefault="008E27FC" w:rsidP="003048F2">
      <w:pPr>
        <w:ind w:left="426" w:hanging="426"/>
        <w:jc w:val="both"/>
        <w:rPr>
          <w:rFonts w:ascii="Arial" w:hAnsi="Arial" w:cs="Arial"/>
          <w:szCs w:val="24"/>
        </w:rPr>
      </w:pPr>
    </w:p>
    <w:p w14:paraId="5AF086AE" w14:textId="7DE8D714" w:rsidR="005824CC" w:rsidRPr="003048F2" w:rsidRDefault="005824CC" w:rsidP="004C4B90">
      <w:pPr>
        <w:ind w:left="426" w:firstLine="39"/>
        <w:jc w:val="both"/>
        <w:rPr>
          <w:rFonts w:ascii="Arial" w:hAnsi="Arial" w:cs="Arial"/>
          <w:szCs w:val="24"/>
        </w:rPr>
      </w:pPr>
    </w:p>
    <w:p w14:paraId="586B9D26" w14:textId="77777777" w:rsidR="00C5447E" w:rsidRDefault="00A47029" w:rsidP="004C4B90">
      <w:pPr>
        <w:pStyle w:val="Heading1"/>
        <w:numPr>
          <w:ilvl w:val="0"/>
          <w:numId w:val="0"/>
        </w:numPr>
        <w:spacing w:before="0" w:after="0"/>
        <w:ind w:left="360" w:hanging="360"/>
        <w:jc w:val="both"/>
        <w:rPr>
          <w:rFonts w:ascii="Arial" w:hAnsi="Arial" w:cs="Arial"/>
        </w:rPr>
      </w:pPr>
      <w:bookmarkStart w:id="0" w:name="_Ref497737988"/>
      <w:r w:rsidRPr="003048F2">
        <w:rPr>
          <w:rFonts w:ascii="Arial" w:hAnsi="Arial" w:cs="Arial"/>
        </w:rPr>
        <w:t>RECOMMENDATION</w:t>
      </w:r>
      <w:r w:rsidR="00DE20DC" w:rsidRPr="003048F2">
        <w:rPr>
          <w:rFonts w:ascii="Arial" w:hAnsi="Arial" w:cs="Arial"/>
        </w:rPr>
        <w:t>S</w:t>
      </w:r>
      <w:bookmarkEnd w:id="0"/>
      <w:r w:rsidR="002B5663" w:rsidRPr="003048F2">
        <w:rPr>
          <w:rFonts w:ascii="Arial" w:hAnsi="Arial" w:cs="Arial"/>
        </w:rPr>
        <w:t xml:space="preserve"> </w:t>
      </w:r>
    </w:p>
    <w:p w14:paraId="33307805" w14:textId="71AFAB49" w:rsidR="003A0D8E" w:rsidRPr="004C4B90" w:rsidRDefault="00153FE5" w:rsidP="004C4B90">
      <w:pPr>
        <w:pStyle w:val="ReportPara"/>
        <w:numPr>
          <w:ilvl w:val="0"/>
          <w:numId w:val="0"/>
        </w:numPr>
        <w:spacing w:after="0"/>
        <w:ind w:left="720"/>
        <w:rPr>
          <w:rFonts w:ascii="Arial" w:eastAsiaTheme="minorHAnsi" w:hAnsi="Arial" w:cs="Arial"/>
          <w:i/>
          <w:szCs w:val="24"/>
        </w:rPr>
      </w:pPr>
      <w:r w:rsidRPr="004C4B90">
        <w:rPr>
          <w:rFonts w:ascii="Arial" w:hAnsi="Arial" w:cs="Arial"/>
          <w:i/>
          <w:szCs w:val="24"/>
        </w:rPr>
        <w:t xml:space="preserve">That the Growth </w:t>
      </w:r>
      <w:r w:rsidR="00070217" w:rsidRPr="004C4B90">
        <w:rPr>
          <w:rFonts w:ascii="Arial" w:hAnsi="Arial" w:cs="Arial"/>
          <w:i/>
          <w:szCs w:val="24"/>
        </w:rPr>
        <w:t>Board endorses</w:t>
      </w:r>
      <w:r w:rsidR="009F53D2" w:rsidRPr="004C4B90">
        <w:rPr>
          <w:rFonts w:ascii="Arial" w:hAnsi="Arial" w:cs="Arial"/>
          <w:i/>
          <w:szCs w:val="24"/>
        </w:rPr>
        <w:t xml:space="preserve"> </w:t>
      </w:r>
      <w:r w:rsidR="003A0D8E" w:rsidRPr="004C4B90">
        <w:rPr>
          <w:rFonts w:ascii="Arial" w:hAnsi="Arial" w:cs="Arial"/>
          <w:i/>
          <w:szCs w:val="24"/>
        </w:rPr>
        <w:t xml:space="preserve">the Oxfordshire Housing and Growth </w:t>
      </w:r>
      <w:r w:rsidR="00070217" w:rsidRPr="004C4B90">
        <w:rPr>
          <w:rFonts w:ascii="Arial" w:hAnsi="Arial" w:cs="Arial"/>
          <w:i/>
          <w:szCs w:val="24"/>
        </w:rPr>
        <w:t>Deal and recommends</w:t>
      </w:r>
      <w:r w:rsidRPr="004C4B90">
        <w:rPr>
          <w:rFonts w:ascii="Arial" w:hAnsi="Arial" w:cs="Arial"/>
          <w:i/>
          <w:szCs w:val="24"/>
        </w:rPr>
        <w:t xml:space="preserve"> its approval to the Oxfordshire </w:t>
      </w:r>
      <w:proofErr w:type="gramStart"/>
      <w:r w:rsidR="009F53D2" w:rsidRPr="004C4B90">
        <w:rPr>
          <w:rFonts w:ascii="Arial" w:hAnsi="Arial" w:cs="Arial"/>
          <w:i/>
          <w:szCs w:val="24"/>
        </w:rPr>
        <w:t>P</w:t>
      </w:r>
      <w:r w:rsidRPr="004C4B90">
        <w:rPr>
          <w:rFonts w:ascii="Arial" w:hAnsi="Arial" w:cs="Arial"/>
          <w:i/>
          <w:szCs w:val="24"/>
        </w:rPr>
        <w:t>artners</w:t>
      </w:r>
      <w:proofErr w:type="gramEnd"/>
      <w:r w:rsidRPr="004C4B90">
        <w:rPr>
          <w:rFonts w:ascii="Arial" w:hAnsi="Arial" w:cs="Arial"/>
          <w:i/>
          <w:szCs w:val="24"/>
        </w:rPr>
        <w:t xml:space="preserve"> </w:t>
      </w:r>
    </w:p>
    <w:p w14:paraId="65793088" w14:textId="77777777" w:rsidR="003048F2" w:rsidRPr="003048F2" w:rsidRDefault="003048F2" w:rsidP="003048F2">
      <w:pPr>
        <w:pStyle w:val="ReportPara"/>
        <w:numPr>
          <w:ilvl w:val="0"/>
          <w:numId w:val="0"/>
        </w:numPr>
        <w:spacing w:after="0"/>
        <w:ind w:left="1142"/>
        <w:rPr>
          <w:rFonts w:ascii="Arial" w:eastAsiaTheme="minorHAnsi" w:hAnsi="Arial" w:cs="Arial"/>
          <w:szCs w:val="24"/>
        </w:rPr>
      </w:pPr>
    </w:p>
    <w:p w14:paraId="266F0A02" w14:textId="77777777" w:rsidR="00C5447E" w:rsidRDefault="00F278AE" w:rsidP="004C4B90">
      <w:pPr>
        <w:pStyle w:val="Heading1"/>
        <w:numPr>
          <w:ilvl w:val="0"/>
          <w:numId w:val="0"/>
        </w:numPr>
        <w:spacing w:before="0" w:after="0"/>
        <w:ind w:left="360" w:hanging="360"/>
        <w:jc w:val="both"/>
        <w:rPr>
          <w:rFonts w:ascii="Arial" w:hAnsi="Arial" w:cs="Arial"/>
        </w:rPr>
      </w:pPr>
      <w:r w:rsidRPr="003048F2">
        <w:rPr>
          <w:rFonts w:ascii="Arial" w:hAnsi="Arial" w:cs="Arial"/>
        </w:rPr>
        <w:t>BACKGROUND</w:t>
      </w:r>
    </w:p>
    <w:p w14:paraId="492B252D" w14:textId="77777777" w:rsidR="003048F2" w:rsidRPr="003048F2" w:rsidRDefault="003048F2" w:rsidP="003048F2">
      <w:pPr>
        <w:pStyle w:val="ReportPara"/>
        <w:numPr>
          <w:ilvl w:val="0"/>
          <w:numId w:val="0"/>
        </w:numPr>
        <w:tabs>
          <w:tab w:val="num" w:pos="1134"/>
          <w:tab w:val="num" w:pos="1283"/>
        </w:tabs>
        <w:spacing w:after="0"/>
        <w:ind w:left="1080"/>
        <w:jc w:val="both"/>
        <w:rPr>
          <w:rFonts w:ascii="Arial" w:hAnsi="Arial" w:cs="Arial"/>
          <w:szCs w:val="24"/>
        </w:rPr>
      </w:pPr>
    </w:p>
    <w:p w14:paraId="379DD76A" w14:textId="50BB4B70" w:rsidR="00605A2E" w:rsidRDefault="002B5663" w:rsidP="004C4B90">
      <w:pPr>
        <w:pStyle w:val="ReportPara"/>
        <w:numPr>
          <w:ilvl w:val="0"/>
          <w:numId w:val="45"/>
        </w:numPr>
        <w:spacing w:after="0"/>
        <w:jc w:val="both"/>
        <w:rPr>
          <w:rFonts w:ascii="Arial" w:hAnsi="Arial" w:cs="Arial"/>
          <w:szCs w:val="24"/>
        </w:rPr>
      </w:pPr>
      <w:r w:rsidRPr="003048F2">
        <w:rPr>
          <w:rFonts w:ascii="Arial" w:hAnsi="Arial" w:cs="Arial"/>
          <w:szCs w:val="24"/>
        </w:rPr>
        <w:t>The</w:t>
      </w:r>
      <w:r w:rsidR="00AE4098" w:rsidRPr="003048F2">
        <w:rPr>
          <w:rFonts w:ascii="Arial" w:hAnsi="Arial" w:cs="Arial"/>
          <w:szCs w:val="24"/>
        </w:rPr>
        <w:t xml:space="preserve"> six Oxfordshire </w:t>
      </w:r>
      <w:r w:rsidR="00593B98">
        <w:rPr>
          <w:rFonts w:ascii="Arial" w:hAnsi="Arial" w:cs="Arial"/>
          <w:szCs w:val="24"/>
        </w:rPr>
        <w:t>councils</w:t>
      </w:r>
      <w:r w:rsidR="00605A2E">
        <w:rPr>
          <w:rFonts w:ascii="Arial" w:hAnsi="Arial" w:cs="Arial"/>
          <w:szCs w:val="24"/>
        </w:rPr>
        <w:t>, together with the Oxfordshire Local Enterprise Partnership (O</w:t>
      </w:r>
      <w:r w:rsidR="00AE4098" w:rsidRPr="003048F2">
        <w:rPr>
          <w:rFonts w:ascii="Arial" w:hAnsi="Arial" w:cs="Arial"/>
          <w:szCs w:val="24"/>
        </w:rPr>
        <w:t>xLEP</w:t>
      </w:r>
      <w:r w:rsidR="00605A2E">
        <w:rPr>
          <w:rFonts w:ascii="Arial" w:hAnsi="Arial" w:cs="Arial"/>
          <w:szCs w:val="24"/>
        </w:rPr>
        <w:t>)</w:t>
      </w:r>
      <w:r w:rsidR="00AE4098" w:rsidRPr="003048F2">
        <w:rPr>
          <w:rFonts w:ascii="Arial" w:hAnsi="Arial" w:cs="Arial"/>
          <w:szCs w:val="24"/>
        </w:rPr>
        <w:t xml:space="preserve"> and </w:t>
      </w:r>
      <w:r w:rsidR="00605A2E">
        <w:rPr>
          <w:rFonts w:ascii="Arial" w:hAnsi="Arial" w:cs="Arial"/>
          <w:szCs w:val="24"/>
        </w:rPr>
        <w:t xml:space="preserve">other </w:t>
      </w:r>
      <w:r w:rsidR="00AE4098" w:rsidRPr="003048F2">
        <w:rPr>
          <w:rFonts w:ascii="Arial" w:hAnsi="Arial" w:cs="Arial"/>
          <w:szCs w:val="24"/>
        </w:rPr>
        <w:t xml:space="preserve">key partners have been </w:t>
      </w:r>
      <w:r w:rsidR="00FC19C6" w:rsidRPr="003048F2">
        <w:rPr>
          <w:rFonts w:ascii="Arial" w:hAnsi="Arial" w:cs="Arial"/>
          <w:szCs w:val="24"/>
        </w:rPr>
        <w:t xml:space="preserve">engaged </w:t>
      </w:r>
      <w:r w:rsidR="00CC442E">
        <w:rPr>
          <w:rFonts w:ascii="Arial" w:hAnsi="Arial" w:cs="Arial"/>
          <w:szCs w:val="24"/>
        </w:rPr>
        <w:t xml:space="preserve">in recent months </w:t>
      </w:r>
      <w:r w:rsidR="00FC19C6" w:rsidRPr="003048F2">
        <w:rPr>
          <w:rFonts w:ascii="Arial" w:hAnsi="Arial" w:cs="Arial"/>
          <w:szCs w:val="24"/>
        </w:rPr>
        <w:t>with Government officials</w:t>
      </w:r>
      <w:r w:rsidR="00AE4098" w:rsidRPr="003048F2">
        <w:rPr>
          <w:rFonts w:ascii="Arial" w:hAnsi="Arial" w:cs="Arial"/>
          <w:szCs w:val="24"/>
        </w:rPr>
        <w:t xml:space="preserve"> </w:t>
      </w:r>
      <w:r w:rsidR="00153FE5">
        <w:rPr>
          <w:rFonts w:ascii="Arial" w:hAnsi="Arial" w:cs="Arial"/>
          <w:szCs w:val="24"/>
        </w:rPr>
        <w:t xml:space="preserve">in dialogue aimed at </w:t>
      </w:r>
      <w:r w:rsidR="00070217">
        <w:rPr>
          <w:rFonts w:ascii="Arial" w:hAnsi="Arial" w:cs="Arial"/>
          <w:szCs w:val="24"/>
        </w:rPr>
        <w:t xml:space="preserve">securing </w:t>
      </w:r>
      <w:r w:rsidR="00070217" w:rsidRPr="003048F2">
        <w:rPr>
          <w:rFonts w:ascii="Arial" w:hAnsi="Arial" w:cs="Arial"/>
          <w:szCs w:val="24"/>
        </w:rPr>
        <w:t>an</w:t>
      </w:r>
      <w:r w:rsidR="00AE4098" w:rsidRPr="003048F2">
        <w:rPr>
          <w:rFonts w:ascii="Arial" w:hAnsi="Arial" w:cs="Arial"/>
          <w:szCs w:val="24"/>
        </w:rPr>
        <w:t xml:space="preserve"> ambitious, </w:t>
      </w:r>
      <w:r w:rsidR="00CC442E" w:rsidRPr="003048F2">
        <w:rPr>
          <w:rFonts w:ascii="Arial" w:hAnsi="Arial" w:cs="Arial"/>
          <w:szCs w:val="24"/>
        </w:rPr>
        <w:t>comprehensive,</w:t>
      </w:r>
      <w:r w:rsidR="00AE4098" w:rsidRPr="003048F2">
        <w:rPr>
          <w:rFonts w:ascii="Arial" w:hAnsi="Arial" w:cs="Arial"/>
          <w:szCs w:val="24"/>
        </w:rPr>
        <w:t xml:space="preserve"> and integrated approach to addressing </w:t>
      </w:r>
      <w:r w:rsidR="00FC19C6" w:rsidRPr="003048F2">
        <w:rPr>
          <w:rFonts w:ascii="Arial" w:hAnsi="Arial" w:cs="Arial"/>
          <w:szCs w:val="24"/>
        </w:rPr>
        <w:t>Oxfordshire’s</w:t>
      </w:r>
      <w:r w:rsidR="00AE4098" w:rsidRPr="003048F2">
        <w:rPr>
          <w:rFonts w:ascii="Arial" w:hAnsi="Arial" w:cs="Arial"/>
          <w:szCs w:val="24"/>
        </w:rPr>
        <w:t xml:space="preserve"> housing, </w:t>
      </w:r>
      <w:r w:rsidR="00CC442E" w:rsidRPr="003048F2">
        <w:rPr>
          <w:rFonts w:ascii="Arial" w:hAnsi="Arial" w:cs="Arial"/>
          <w:szCs w:val="24"/>
        </w:rPr>
        <w:t>infrastructure,</w:t>
      </w:r>
      <w:r w:rsidR="00AE4098" w:rsidRPr="003048F2">
        <w:rPr>
          <w:rFonts w:ascii="Arial" w:hAnsi="Arial" w:cs="Arial"/>
          <w:szCs w:val="24"/>
        </w:rPr>
        <w:t xml:space="preserve"> and economic challenges.</w:t>
      </w:r>
      <w:r w:rsidR="005678B0" w:rsidRPr="003048F2">
        <w:rPr>
          <w:rFonts w:ascii="Arial" w:hAnsi="Arial" w:cs="Arial"/>
          <w:szCs w:val="24"/>
        </w:rPr>
        <w:t xml:space="preserve"> </w:t>
      </w:r>
    </w:p>
    <w:p w14:paraId="5340CCD5" w14:textId="77777777" w:rsidR="00605A2E" w:rsidRDefault="00605A2E" w:rsidP="008C7523">
      <w:pPr>
        <w:pStyle w:val="ReportPara"/>
        <w:numPr>
          <w:ilvl w:val="0"/>
          <w:numId w:val="0"/>
        </w:numPr>
        <w:tabs>
          <w:tab w:val="num" w:pos="1283"/>
        </w:tabs>
        <w:spacing w:after="0"/>
        <w:ind w:left="426"/>
        <w:jc w:val="both"/>
        <w:rPr>
          <w:rFonts w:ascii="Arial" w:hAnsi="Arial" w:cs="Arial"/>
          <w:szCs w:val="24"/>
        </w:rPr>
      </w:pPr>
    </w:p>
    <w:p w14:paraId="4AB79605" w14:textId="3D5DD1A7" w:rsidR="00153FE5" w:rsidRDefault="007939B7" w:rsidP="004C4B90">
      <w:pPr>
        <w:pStyle w:val="ReportPara"/>
        <w:numPr>
          <w:ilvl w:val="0"/>
          <w:numId w:val="45"/>
        </w:numPr>
        <w:spacing w:after="0"/>
        <w:jc w:val="both"/>
        <w:rPr>
          <w:rFonts w:ascii="Arial" w:hAnsi="Arial" w:cs="Arial"/>
          <w:szCs w:val="24"/>
        </w:rPr>
      </w:pPr>
      <w:r w:rsidRPr="003048F2">
        <w:rPr>
          <w:rFonts w:ascii="Arial" w:hAnsi="Arial" w:cs="Arial"/>
          <w:szCs w:val="24"/>
        </w:rPr>
        <w:t>Th</w:t>
      </w:r>
      <w:r w:rsidR="00EE4271">
        <w:rPr>
          <w:rFonts w:ascii="Arial" w:hAnsi="Arial" w:cs="Arial"/>
          <w:szCs w:val="24"/>
        </w:rPr>
        <w:t xml:space="preserve">e outcome of these negotiations </w:t>
      </w:r>
      <w:r w:rsidR="007A37BA">
        <w:rPr>
          <w:rFonts w:ascii="Arial" w:hAnsi="Arial" w:cs="Arial"/>
          <w:szCs w:val="24"/>
        </w:rPr>
        <w:t xml:space="preserve">was the </w:t>
      </w:r>
      <w:r w:rsidR="002B5663" w:rsidRPr="003048F2">
        <w:rPr>
          <w:rFonts w:ascii="Arial" w:hAnsi="Arial" w:cs="Arial"/>
          <w:szCs w:val="24"/>
        </w:rPr>
        <w:t>announcemen</w:t>
      </w:r>
      <w:r w:rsidR="007A37BA">
        <w:rPr>
          <w:rFonts w:ascii="Arial" w:hAnsi="Arial" w:cs="Arial"/>
          <w:szCs w:val="24"/>
        </w:rPr>
        <w:t xml:space="preserve">t, </w:t>
      </w:r>
      <w:r w:rsidR="002B5663" w:rsidRPr="003048F2">
        <w:rPr>
          <w:rFonts w:ascii="Arial" w:hAnsi="Arial" w:cs="Arial"/>
          <w:szCs w:val="24"/>
        </w:rPr>
        <w:t>in the Autumn Budget Statement</w:t>
      </w:r>
      <w:r w:rsidR="007A37BA">
        <w:rPr>
          <w:rFonts w:ascii="Arial" w:hAnsi="Arial" w:cs="Arial"/>
          <w:szCs w:val="24"/>
        </w:rPr>
        <w:t>,</w:t>
      </w:r>
      <w:r w:rsidR="002B5663" w:rsidRPr="003048F2">
        <w:rPr>
          <w:rFonts w:ascii="Arial" w:hAnsi="Arial" w:cs="Arial"/>
          <w:szCs w:val="24"/>
        </w:rPr>
        <w:t xml:space="preserve"> of the </w:t>
      </w:r>
      <w:r w:rsidRPr="003048F2">
        <w:rPr>
          <w:rFonts w:ascii="Arial" w:hAnsi="Arial" w:cs="Arial"/>
          <w:szCs w:val="24"/>
        </w:rPr>
        <w:t>Oxfordshire Housing and Growth Deal</w:t>
      </w:r>
      <w:r w:rsidR="00D66DBC" w:rsidRPr="003048F2">
        <w:rPr>
          <w:rFonts w:ascii="Arial" w:hAnsi="Arial" w:cs="Arial"/>
          <w:szCs w:val="24"/>
        </w:rPr>
        <w:t xml:space="preserve"> </w:t>
      </w:r>
      <w:r w:rsidRPr="003048F2">
        <w:rPr>
          <w:rFonts w:ascii="Arial" w:hAnsi="Arial" w:cs="Arial"/>
          <w:szCs w:val="24"/>
        </w:rPr>
        <w:t>(the Deal).</w:t>
      </w:r>
    </w:p>
    <w:p w14:paraId="6AF52665" w14:textId="77777777" w:rsidR="00153FE5" w:rsidRDefault="00153FE5" w:rsidP="007A37BA">
      <w:pPr>
        <w:pStyle w:val="ReportPara"/>
        <w:numPr>
          <w:ilvl w:val="0"/>
          <w:numId w:val="0"/>
        </w:numPr>
        <w:tabs>
          <w:tab w:val="num" w:pos="1134"/>
          <w:tab w:val="num" w:pos="1283"/>
        </w:tabs>
        <w:spacing w:after="0"/>
        <w:ind w:left="1080"/>
        <w:jc w:val="both"/>
        <w:rPr>
          <w:rFonts w:ascii="Arial" w:hAnsi="Arial" w:cs="Arial"/>
          <w:szCs w:val="24"/>
        </w:rPr>
      </w:pPr>
    </w:p>
    <w:p w14:paraId="3AA1BA7E" w14:textId="73DAD7DA" w:rsidR="007A37BA" w:rsidRDefault="00153FE5" w:rsidP="004C4B90">
      <w:pPr>
        <w:pStyle w:val="ReportPara"/>
        <w:numPr>
          <w:ilvl w:val="0"/>
          <w:numId w:val="45"/>
        </w:numPr>
        <w:rPr>
          <w:rFonts w:ascii="Arial" w:hAnsi="Arial" w:cs="Arial"/>
          <w:szCs w:val="24"/>
        </w:rPr>
      </w:pPr>
      <w:r w:rsidRPr="00153FE5">
        <w:rPr>
          <w:rFonts w:ascii="Arial" w:hAnsi="Arial" w:cs="Arial"/>
          <w:szCs w:val="24"/>
        </w:rPr>
        <w:t>The Deal, offers</w:t>
      </w:r>
      <w:r w:rsidR="007A37BA">
        <w:rPr>
          <w:rFonts w:ascii="Arial" w:hAnsi="Arial" w:cs="Arial"/>
          <w:szCs w:val="24"/>
        </w:rPr>
        <w:t xml:space="preserve"> a total of £215 million of additional funding for Oxfordshire</w:t>
      </w:r>
      <w:r w:rsidR="001A76BD">
        <w:rPr>
          <w:rFonts w:ascii="Arial" w:hAnsi="Arial" w:cs="Arial"/>
          <w:szCs w:val="24"/>
        </w:rPr>
        <w:t xml:space="preserve">, </w:t>
      </w:r>
      <w:r w:rsidR="00070217">
        <w:rPr>
          <w:rFonts w:ascii="Arial" w:hAnsi="Arial" w:cs="Arial"/>
          <w:szCs w:val="24"/>
        </w:rPr>
        <w:t>comprising £</w:t>
      </w:r>
      <w:r w:rsidRPr="00153FE5">
        <w:rPr>
          <w:rFonts w:ascii="Arial" w:hAnsi="Arial" w:cs="Arial"/>
          <w:szCs w:val="24"/>
        </w:rPr>
        <w:t xml:space="preserve">150 million for infrastructure, £60 million for affordable housing and £5 million capacity funding.  </w:t>
      </w:r>
    </w:p>
    <w:p w14:paraId="3FC08B8B" w14:textId="77777777" w:rsidR="00A91BD5" w:rsidRDefault="00153FE5" w:rsidP="004C4B90">
      <w:pPr>
        <w:pStyle w:val="ReportPara"/>
        <w:numPr>
          <w:ilvl w:val="0"/>
          <w:numId w:val="45"/>
        </w:numPr>
        <w:rPr>
          <w:rFonts w:ascii="Arial" w:hAnsi="Arial" w:cs="Arial"/>
          <w:szCs w:val="24"/>
        </w:rPr>
      </w:pPr>
      <w:r w:rsidRPr="00153FE5">
        <w:rPr>
          <w:rFonts w:ascii="Arial" w:hAnsi="Arial" w:cs="Arial"/>
          <w:szCs w:val="24"/>
        </w:rPr>
        <w:t>Th</w:t>
      </w:r>
      <w:r w:rsidR="007A37BA">
        <w:rPr>
          <w:rFonts w:ascii="Arial" w:hAnsi="Arial" w:cs="Arial"/>
          <w:szCs w:val="24"/>
        </w:rPr>
        <w:t>e</w:t>
      </w:r>
      <w:r w:rsidRPr="00153FE5">
        <w:rPr>
          <w:rFonts w:ascii="Arial" w:hAnsi="Arial" w:cs="Arial"/>
          <w:szCs w:val="24"/>
        </w:rPr>
        <w:t xml:space="preserve"> </w:t>
      </w:r>
      <w:r w:rsidR="00B713AE">
        <w:rPr>
          <w:rFonts w:ascii="Arial" w:hAnsi="Arial" w:cs="Arial"/>
          <w:szCs w:val="24"/>
        </w:rPr>
        <w:t xml:space="preserve">additional </w:t>
      </w:r>
      <w:r w:rsidR="00B713AE" w:rsidRPr="00153FE5">
        <w:rPr>
          <w:rFonts w:ascii="Arial" w:hAnsi="Arial" w:cs="Arial"/>
          <w:szCs w:val="24"/>
        </w:rPr>
        <w:t>funding</w:t>
      </w:r>
      <w:r w:rsidR="00B713AE">
        <w:rPr>
          <w:rFonts w:ascii="Arial" w:hAnsi="Arial" w:cs="Arial"/>
          <w:szCs w:val="24"/>
        </w:rPr>
        <w:t xml:space="preserve"> </w:t>
      </w:r>
      <w:r w:rsidR="00B713AE" w:rsidRPr="00153FE5">
        <w:rPr>
          <w:rFonts w:ascii="Arial" w:hAnsi="Arial" w:cs="Arial"/>
          <w:szCs w:val="24"/>
        </w:rPr>
        <w:t>will</w:t>
      </w:r>
      <w:r w:rsidRPr="00153FE5">
        <w:rPr>
          <w:rFonts w:ascii="Arial" w:hAnsi="Arial" w:cs="Arial"/>
          <w:szCs w:val="24"/>
        </w:rPr>
        <w:t xml:space="preserve"> support </w:t>
      </w:r>
      <w:r w:rsidR="00D26888">
        <w:rPr>
          <w:rFonts w:ascii="Arial" w:hAnsi="Arial" w:cs="Arial"/>
          <w:szCs w:val="24"/>
        </w:rPr>
        <w:t>Oxfordshire’s ambition to plan for and support the delivery of up to</w:t>
      </w:r>
      <w:r w:rsidRPr="00153FE5">
        <w:rPr>
          <w:rFonts w:ascii="Arial" w:hAnsi="Arial" w:cs="Arial"/>
          <w:szCs w:val="24"/>
        </w:rPr>
        <w:t>100</w:t>
      </w:r>
      <w:proofErr w:type="gramStart"/>
      <w:r w:rsidRPr="00153FE5">
        <w:rPr>
          <w:rFonts w:ascii="Arial" w:hAnsi="Arial" w:cs="Arial"/>
          <w:szCs w:val="24"/>
        </w:rPr>
        <w:t>,000</w:t>
      </w:r>
      <w:proofErr w:type="gramEnd"/>
      <w:r w:rsidRPr="00153FE5">
        <w:rPr>
          <w:rFonts w:ascii="Arial" w:hAnsi="Arial" w:cs="Arial"/>
          <w:szCs w:val="24"/>
        </w:rPr>
        <w:t xml:space="preserve"> new homes across Oxfordshire between 2011 and 2031 to address the county’s housing shortage and expected economic growth</w:t>
      </w:r>
      <w:r w:rsidR="00CC442E" w:rsidRPr="00153FE5">
        <w:rPr>
          <w:rFonts w:ascii="Arial" w:hAnsi="Arial" w:cs="Arial"/>
          <w:szCs w:val="24"/>
        </w:rPr>
        <w:t xml:space="preserve">. </w:t>
      </w:r>
      <w:r w:rsidRPr="00153FE5">
        <w:rPr>
          <w:rFonts w:ascii="Arial" w:hAnsi="Arial" w:cs="Arial"/>
          <w:szCs w:val="24"/>
        </w:rPr>
        <w:t xml:space="preserve">This level of </w:t>
      </w:r>
    </w:p>
    <w:p w14:paraId="5F0328E1" w14:textId="77777777" w:rsidR="00A91BD5" w:rsidRDefault="00A91BD5" w:rsidP="00A91BD5">
      <w:pPr>
        <w:pStyle w:val="ReportPara"/>
        <w:numPr>
          <w:ilvl w:val="0"/>
          <w:numId w:val="0"/>
        </w:numPr>
        <w:ind w:left="720"/>
        <w:rPr>
          <w:rFonts w:ascii="Arial" w:hAnsi="Arial" w:cs="Arial"/>
          <w:szCs w:val="24"/>
        </w:rPr>
      </w:pPr>
    </w:p>
    <w:p w14:paraId="3EF53A94" w14:textId="77777777" w:rsidR="005B06A6" w:rsidRDefault="005B06A6" w:rsidP="00A91BD5">
      <w:pPr>
        <w:pStyle w:val="ReportPara"/>
        <w:numPr>
          <w:ilvl w:val="0"/>
          <w:numId w:val="0"/>
        </w:numPr>
        <w:ind w:left="720"/>
        <w:rPr>
          <w:rFonts w:ascii="Arial" w:hAnsi="Arial" w:cs="Arial"/>
          <w:szCs w:val="24"/>
        </w:rPr>
      </w:pPr>
    </w:p>
    <w:p w14:paraId="2EC3F4B1" w14:textId="58B62701" w:rsidR="00153FE5" w:rsidRPr="00153FE5" w:rsidRDefault="00153FE5" w:rsidP="00A91BD5">
      <w:pPr>
        <w:pStyle w:val="ReportPara"/>
        <w:numPr>
          <w:ilvl w:val="0"/>
          <w:numId w:val="0"/>
        </w:numPr>
        <w:ind w:left="720"/>
        <w:rPr>
          <w:rFonts w:ascii="Arial" w:hAnsi="Arial" w:cs="Arial"/>
          <w:szCs w:val="24"/>
        </w:rPr>
      </w:pPr>
      <w:proofErr w:type="gramStart"/>
      <w:r w:rsidRPr="00153FE5">
        <w:rPr>
          <w:rFonts w:ascii="Arial" w:hAnsi="Arial" w:cs="Arial"/>
          <w:szCs w:val="24"/>
        </w:rPr>
        <w:t>housing</w:t>
      </w:r>
      <w:proofErr w:type="gramEnd"/>
      <w:r w:rsidRPr="00153FE5">
        <w:rPr>
          <w:rFonts w:ascii="Arial" w:hAnsi="Arial" w:cs="Arial"/>
          <w:szCs w:val="24"/>
        </w:rPr>
        <w:t xml:space="preserve"> growth is that identified by the Oxfordshire Strategic Housing Market Assessment 2014, and is consistent with that planned for in existing and emerging Oxfordshire Local Plans.</w:t>
      </w:r>
    </w:p>
    <w:p w14:paraId="407DA74F" w14:textId="77777777" w:rsidR="003048F2" w:rsidRPr="003048F2" w:rsidRDefault="003048F2" w:rsidP="008C7523">
      <w:pPr>
        <w:pStyle w:val="ReportPara"/>
        <w:numPr>
          <w:ilvl w:val="0"/>
          <w:numId w:val="0"/>
        </w:numPr>
        <w:tabs>
          <w:tab w:val="num" w:pos="1134"/>
          <w:tab w:val="num" w:pos="1283"/>
        </w:tabs>
        <w:spacing w:after="0"/>
        <w:ind w:left="426"/>
        <w:jc w:val="both"/>
        <w:rPr>
          <w:rFonts w:ascii="Arial" w:hAnsi="Arial" w:cs="Arial"/>
          <w:szCs w:val="24"/>
        </w:rPr>
      </w:pPr>
    </w:p>
    <w:p w14:paraId="1E972BB1" w14:textId="77777777" w:rsidR="00605A2E" w:rsidRDefault="003E4558" w:rsidP="004C4B90">
      <w:pPr>
        <w:pStyle w:val="ReportPara"/>
        <w:numPr>
          <w:ilvl w:val="0"/>
          <w:numId w:val="45"/>
        </w:numPr>
        <w:tabs>
          <w:tab w:val="num" w:pos="1283"/>
        </w:tabs>
        <w:spacing w:after="0"/>
        <w:jc w:val="both"/>
        <w:rPr>
          <w:rFonts w:ascii="Arial" w:hAnsi="Arial" w:cs="Arial"/>
          <w:szCs w:val="24"/>
        </w:rPr>
      </w:pPr>
      <w:r w:rsidRPr="003048F2">
        <w:rPr>
          <w:rFonts w:ascii="Arial" w:hAnsi="Arial" w:cs="Arial"/>
          <w:szCs w:val="24"/>
        </w:rPr>
        <w:t>The Oxfordshire P</w:t>
      </w:r>
      <w:r w:rsidR="005824CC" w:rsidRPr="003048F2">
        <w:rPr>
          <w:rFonts w:ascii="Arial" w:hAnsi="Arial" w:cs="Arial"/>
          <w:szCs w:val="24"/>
        </w:rPr>
        <w:t xml:space="preserve">artners and Government both view the Deal as the first part of a long-term commitment to Oxfordshire, with the measures announced in the Budget  being “an initial package, intended to kick-start a process of meeting Oxfordshire’s long-term potential” and </w:t>
      </w:r>
      <w:r w:rsidR="004B0825">
        <w:rPr>
          <w:rFonts w:ascii="Arial" w:hAnsi="Arial" w:cs="Arial"/>
          <w:szCs w:val="24"/>
        </w:rPr>
        <w:t xml:space="preserve">be </w:t>
      </w:r>
      <w:r w:rsidR="005824CC" w:rsidRPr="003048F2">
        <w:rPr>
          <w:rFonts w:ascii="Arial" w:hAnsi="Arial" w:cs="Arial"/>
          <w:szCs w:val="24"/>
        </w:rPr>
        <w:t xml:space="preserve">a statement of support for our </w:t>
      </w:r>
      <w:r w:rsidR="004B0825">
        <w:rPr>
          <w:rFonts w:ascii="Arial" w:hAnsi="Arial" w:cs="Arial"/>
          <w:szCs w:val="24"/>
        </w:rPr>
        <w:t xml:space="preserve">collective </w:t>
      </w:r>
      <w:r w:rsidR="005824CC" w:rsidRPr="003048F2">
        <w:rPr>
          <w:rFonts w:ascii="Arial" w:hAnsi="Arial" w:cs="Arial"/>
          <w:szCs w:val="24"/>
        </w:rPr>
        <w:t>ambitions for Oxfordshire.</w:t>
      </w:r>
      <w:r w:rsidR="00605A2E">
        <w:rPr>
          <w:rFonts w:ascii="Arial" w:hAnsi="Arial" w:cs="Arial"/>
          <w:szCs w:val="24"/>
        </w:rPr>
        <w:t xml:space="preserve"> </w:t>
      </w:r>
      <w:r w:rsidR="007A37BA">
        <w:rPr>
          <w:rFonts w:ascii="Arial" w:hAnsi="Arial" w:cs="Arial"/>
          <w:szCs w:val="24"/>
        </w:rPr>
        <w:t xml:space="preserve">Importantly, the Deal also recognises the investment needed to help </w:t>
      </w:r>
      <w:r w:rsidR="008C7523">
        <w:rPr>
          <w:rFonts w:ascii="Arial" w:hAnsi="Arial" w:cs="Arial"/>
          <w:szCs w:val="24"/>
        </w:rPr>
        <w:t xml:space="preserve">Oxfordshire </w:t>
      </w:r>
      <w:r w:rsidR="008C7523" w:rsidRPr="003048F2">
        <w:rPr>
          <w:rFonts w:ascii="Arial" w:hAnsi="Arial" w:cs="Arial"/>
          <w:szCs w:val="24"/>
        </w:rPr>
        <w:t>deliver</w:t>
      </w:r>
      <w:r w:rsidR="005824CC" w:rsidRPr="003048F2">
        <w:rPr>
          <w:rFonts w:ascii="Arial" w:hAnsi="Arial" w:cs="Arial"/>
          <w:szCs w:val="24"/>
        </w:rPr>
        <w:t xml:space="preserve"> </w:t>
      </w:r>
      <w:r w:rsidR="007A37BA">
        <w:rPr>
          <w:rFonts w:ascii="Arial" w:hAnsi="Arial" w:cs="Arial"/>
          <w:szCs w:val="24"/>
        </w:rPr>
        <w:t xml:space="preserve">our contribution to the delivery of </w:t>
      </w:r>
      <w:r w:rsidR="005824CC" w:rsidRPr="003048F2">
        <w:rPr>
          <w:rFonts w:ascii="Arial" w:hAnsi="Arial" w:cs="Arial"/>
          <w:szCs w:val="24"/>
        </w:rPr>
        <w:t xml:space="preserve">the </w:t>
      </w:r>
      <w:r w:rsidR="00356D22">
        <w:rPr>
          <w:rFonts w:ascii="Arial" w:hAnsi="Arial" w:cs="Arial"/>
          <w:szCs w:val="24"/>
        </w:rPr>
        <w:t>Cambridge – Milton Keynes - Oxford</w:t>
      </w:r>
      <w:r w:rsidR="005824CC" w:rsidRPr="003048F2">
        <w:rPr>
          <w:rFonts w:ascii="Arial" w:hAnsi="Arial" w:cs="Arial"/>
          <w:szCs w:val="24"/>
        </w:rPr>
        <w:t xml:space="preserve"> </w:t>
      </w:r>
      <w:r w:rsidR="007A37BA">
        <w:rPr>
          <w:rFonts w:ascii="Arial" w:hAnsi="Arial" w:cs="Arial"/>
          <w:szCs w:val="24"/>
        </w:rPr>
        <w:t>Growth C</w:t>
      </w:r>
      <w:r w:rsidR="005824CC" w:rsidRPr="003048F2">
        <w:rPr>
          <w:rFonts w:ascii="Arial" w:hAnsi="Arial" w:cs="Arial"/>
          <w:szCs w:val="24"/>
        </w:rPr>
        <w:t>orridor</w:t>
      </w:r>
      <w:r w:rsidR="007A37BA">
        <w:rPr>
          <w:rFonts w:ascii="Arial" w:hAnsi="Arial" w:cs="Arial"/>
          <w:szCs w:val="24"/>
        </w:rPr>
        <w:t>.</w:t>
      </w:r>
      <w:r w:rsidR="008C7523">
        <w:rPr>
          <w:rFonts w:ascii="Arial" w:hAnsi="Arial" w:cs="Arial"/>
          <w:szCs w:val="24"/>
        </w:rPr>
        <w:t xml:space="preserve"> </w:t>
      </w:r>
    </w:p>
    <w:p w14:paraId="7FD00635" w14:textId="77777777" w:rsidR="00605A2E" w:rsidRDefault="00605A2E" w:rsidP="00605A2E">
      <w:pPr>
        <w:pStyle w:val="ReportPara"/>
        <w:numPr>
          <w:ilvl w:val="0"/>
          <w:numId w:val="0"/>
        </w:numPr>
        <w:tabs>
          <w:tab w:val="num" w:pos="1134"/>
          <w:tab w:val="num" w:pos="1283"/>
        </w:tabs>
        <w:spacing w:after="0"/>
        <w:ind w:left="426"/>
        <w:jc w:val="both"/>
        <w:rPr>
          <w:rFonts w:ascii="Arial" w:hAnsi="Arial" w:cs="Arial"/>
          <w:szCs w:val="24"/>
        </w:rPr>
      </w:pPr>
    </w:p>
    <w:p w14:paraId="693AE7D8" w14:textId="0B526BB7" w:rsidR="005824CC" w:rsidRDefault="00D26888" w:rsidP="004C4B90">
      <w:pPr>
        <w:pStyle w:val="ReportPara"/>
        <w:numPr>
          <w:ilvl w:val="0"/>
          <w:numId w:val="45"/>
        </w:numPr>
        <w:tabs>
          <w:tab w:val="num" w:pos="1283"/>
        </w:tabs>
        <w:spacing w:after="0"/>
        <w:jc w:val="both"/>
        <w:rPr>
          <w:rFonts w:ascii="Arial" w:hAnsi="Arial" w:cs="Arial"/>
          <w:szCs w:val="24"/>
        </w:rPr>
      </w:pPr>
      <w:r>
        <w:rPr>
          <w:rFonts w:ascii="Arial" w:hAnsi="Arial" w:cs="Arial"/>
          <w:szCs w:val="24"/>
        </w:rPr>
        <w:t>The</w:t>
      </w:r>
      <w:r w:rsidR="00605A2E">
        <w:rPr>
          <w:rFonts w:ascii="Arial" w:hAnsi="Arial" w:cs="Arial"/>
          <w:szCs w:val="24"/>
        </w:rPr>
        <w:t xml:space="preserve"> Deal</w:t>
      </w:r>
      <w:r w:rsidR="007A37BA">
        <w:rPr>
          <w:rFonts w:ascii="Arial" w:hAnsi="Arial" w:cs="Arial"/>
          <w:szCs w:val="24"/>
        </w:rPr>
        <w:t xml:space="preserve"> also includes a package of planning “freedoms and </w:t>
      </w:r>
      <w:r w:rsidR="008C7523">
        <w:rPr>
          <w:rFonts w:ascii="Arial" w:hAnsi="Arial" w:cs="Arial"/>
          <w:szCs w:val="24"/>
        </w:rPr>
        <w:t>flexibilities</w:t>
      </w:r>
      <w:r w:rsidR="0048337A">
        <w:rPr>
          <w:rFonts w:ascii="Arial" w:hAnsi="Arial" w:cs="Arial"/>
          <w:szCs w:val="24"/>
        </w:rPr>
        <w:t>” that will help</w:t>
      </w:r>
      <w:r w:rsidR="007A37BA">
        <w:rPr>
          <w:rFonts w:ascii="Arial" w:hAnsi="Arial" w:cs="Arial"/>
          <w:szCs w:val="24"/>
        </w:rPr>
        <w:t xml:space="preserve"> </w:t>
      </w:r>
      <w:r w:rsidR="008C7523">
        <w:rPr>
          <w:rFonts w:ascii="Arial" w:hAnsi="Arial" w:cs="Arial"/>
          <w:szCs w:val="24"/>
        </w:rPr>
        <w:t>Oxfordshire</w:t>
      </w:r>
      <w:r w:rsidR="007A37BA">
        <w:rPr>
          <w:rFonts w:ascii="Arial" w:hAnsi="Arial" w:cs="Arial"/>
          <w:szCs w:val="24"/>
        </w:rPr>
        <w:t xml:space="preserve"> to plan collectively for the </w:t>
      </w:r>
      <w:r w:rsidR="00CC442E">
        <w:rPr>
          <w:rFonts w:ascii="Arial" w:hAnsi="Arial" w:cs="Arial"/>
          <w:szCs w:val="24"/>
        </w:rPr>
        <w:t>long-term</w:t>
      </w:r>
      <w:r w:rsidR="00593B98">
        <w:rPr>
          <w:rFonts w:ascii="Arial" w:hAnsi="Arial" w:cs="Arial"/>
          <w:szCs w:val="24"/>
        </w:rPr>
        <w:t>,</w:t>
      </w:r>
      <w:r w:rsidR="007A37BA">
        <w:rPr>
          <w:rFonts w:ascii="Arial" w:hAnsi="Arial" w:cs="Arial"/>
          <w:szCs w:val="24"/>
        </w:rPr>
        <w:t xml:space="preserve"> </w:t>
      </w:r>
      <w:r w:rsidR="008C7523">
        <w:rPr>
          <w:rFonts w:ascii="Arial" w:hAnsi="Arial" w:cs="Arial"/>
          <w:szCs w:val="24"/>
        </w:rPr>
        <w:t>sustainable</w:t>
      </w:r>
      <w:r w:rsidR="007A37BA">
        <w:rPr>
          <w:rFonts w:ascii="Arial" w:hAnsi="Arial" w:cs="Arial"/>
          <w:szCs w:val="24"/>
        </w:rPr>
        <w:t xml:space="preserve"> development of </w:t>
      </w:r>
      <w:r w:rsidR="00014509">
        <w:rPr>
          <w:rFonts w:ascii="Arial" w:hAnsi="Arial" w:cs="Arial"/>
          <w:szCs w:val="24"/>
        </w:rPr>
        <w:t>the county</w:t>
      </w:r>
      <w:r w:rsidR="0048337A">
        <w:rPr>
          <w:rFonts w:ascii="Arial" w:hAnsi="Arial" w:cs="Arial"/>
          <w:szCs w:val="24"/>
        </w:rPr>
        <w:t xml:space="preserve"> by offering some protection from the risk of</w:t>
      </w:r>
      <w:r w:rsidR="007A37BA">
        <w:rPr>
          <w:rFonts w:ascii="Arial" w:hAnsi="Arial" w:cs="Arial"/>
          <w:szCs w:val="24"/>
        </w:rPr>
        <w:t xml:space="preserve"> </w:t>
      </w:r>
      <w:r w:rsidR="005824CC" w:rsidRPr="003048F2">
        <w:rPr>
          <w:rFonts w:ascii="Arial" w:hAnsi="Arial" w:cs="Arial"/>
          <w:szCs w:val="24"/>
        </w:rPr>
        <w:t>unplanned speculative development</w:t>
      </w:r>
      <w:r w:rsidR="007A37BA">
        <w:rPr>
          <w:rFonts w:ascii="Arial" w:hAnsi="Arial" w:cs="Arial"/>
          <w:szCs w:val="24"/>
        </w:rPr>
        <w:t xml:space="preserve"> </w:t>
      </w:r>
      <w:r w:rsidR="0048337A">
        <w:rPr>
          <w:rFonts w:ascii="Arial" w:hAnsi="Arial" w:cs="Arial"/>
          <w:szCs w:val="24"/>
        </w:rPr>
        <w:t>for the duration of development of the J</w:t>
      </w:r>
      <w:r w:rsidR="00A91BD5">
        <w:rPr>
          <w:rFonts w:ascii="Arial" w:hAnsi="Arial" w:cs="Arial"/>
          <w:szCs w:val="24"/>
        </w:rPr>
        <w:t xml:space="preserve">oint </w:t>
      </w:r>
      <w:r w:rsidR="0048337A">
        <w:rPr>
          <w:rFonts w:ascii="Arial" w:hAnsi="Arial" w:cs="Arial"/>
          <w:szCs w:val="24"/>
        </w:rPr>
        <w:t>S</w:t>
      </w:r>
      <w:r w:rsidR="00A91BD5">
        <w:rPr>
          <w:rFonts w:ascii="Arial" w:hAnsi="Arial" w:cs="Arial"/>
          <w:szCs w:val="24"/>
        </w:rPr>
        <w:t xml:space="preserve">tatutory </w:t>
      </w:r>
      <w:r w:rsidR="0048337A">
        <w:rPr>
          <w:rFonts w:ascii="Arial" w:hAnsi="Arial" w:cs="Arial"/>
          <w:szCs w:val="24"/>
        </w:rPr>
        <w:t>S</w:t>
      </w:r>
      <w:r w:rsidR="00A91BD5">
        <w:rPr>
          <w:rFonts w:ascii="Arial" w:hAnsi="Arial" w:cs="Arial"/>
          <w:szCs w:val="24"/>
        </w:rPr>
        <w:t xml:space="preserve">patial </w:t>
      </w:r>
      <w:r w:rsidR="0048337A">
        <w:rPr>
          <w:rFonts w:ascii="Arial" w:hAnsi="Arial" w:cs="Arial"/>
          <w:szCs w:val="24"/>
        </w:rPr>
        <w:t>P</w:t>
      </w:r>
      <w:r w:rsidR="00A91BD5">
        <w:rPr>
          <w:rFonts w:ascii="Arial" w:hAnsi="Arial" w:cs="Arial"/>
          <w:szCs w:val="24"/>
        </w:rPr>
        <w:t>lan (</w:t>
      </w:r>
      <w:proofErr w:type="spellStart"/>
      <w:r w:rsidR="00A91BD5">
        <w:rPr>
          <w:rFonts w:ascii="Arial" w:hAnsi="Arial" w:cs="Arial"/>
          <w:szCs w:val="24"/>
        </w:rPr>
        <w:t>JSSP</w:t>
      </w:r>
      <w:proofErr w:type="spellEnd"/>
      <w:r w:rsidR="00A91BD5">
        <w:rPr>
          <w:rFonts w:ascii="Arial" w:hAnsi="Arial" w:cs="Arial"/>
          <w:szCs w:val="24"/>
        </w:rPr>
        <w:t>)</w:t>
      </w:r>
      <w:r w:rsidR="0048337A">
        <w:rPr>
          <w:rFonts w:ascii="Arial" w:hAnsi="Arial" w:cs="Arial"/>
          <w:szCs w:val="24"/>
        </w:rPr>
        <w:t xml:space="preserve"> and early years of its implementation</w:t>
      </w:r>
      <w:r w:rsidR="005824CC" w:rsidRPr="003048F2">
        <w:rPr>
          <w:rFonts w:ascii="Arial" w:hAnsi="Arial" w:cs="Arial"/>
          <w:szCs w:val="24"/>
        </w:rPr>
        <w:t>.</w:t>
      </w:r>
    </w:p>
    <w:p w14:paraId="13DD4374" w14:textId="77777777" w:rsidR="003048F2" w:rsidRPr="003048F2" w:rsidRDefault="003048F2" w:rsidP="008C7523">
      <w:pPr>
        <w:pStyle w:val="ReportPara"/>
        <w:numPr>
          <w:ilvl w:val="0"/>
          <w:numId w:val="0"/>
        </w:numPr>
        <w:tabs>
          <w:tab w:val="num" w:pos="426"/>
          <w:tab w:val="num" w:pos="1283"/>
        </w:tabs>
        <w:spacing w:after="0"/>
        <w:ind w:left="426"/>
        <w:jc w:val="both"/>
        <w:rPr>
          <w:rFonts w:ascii="Arial" w:hAnsi="Arial" w:cs="Arial"/>
          <w:szCs w:val="24"/>
        </w:rPr>
      </w:pPr>
    </w:p>
    <w:p w14:paraId="1C155FE1" w14:textId="698AF77A" w:rsidR="002B5663" w:rsidRDefault="002B5663" w:rsidP="004C4B90">
      <w:pPr>
        <w:pStyle w:val="ReportPara"/>
        <w:numPr>
          <w:ilvl w:val="0"/>
          <w:numId w:val="45"/>
        </w:numPr>
        <w:spacing w:after="0"/>
        <w:rPr>
          <w:rFonts w:ascii="Arial" w:hAnsi="Arial" w:cs="Arial"/>
          <w:szCs w:val="24"/>
        </w:rPr>
      </w:pPr>
      <w:r w:rsidRPr="003048F2">
        <w:rPr>
          <w:rFonts w:ascii="Arial" w:hAnsi="Arial" w:cs="Arial"/>
          <w:szCs w:val="24"/>
        </w:rPr>
        <w:t xml:space="preserve">The Outline Deal Agreement </w:t>
      </w:r>
      <w:r w:rsidR="00605A2E">
        <w:rPr>
          <w:rFonts w:ascii="Arial" w:hAnsi="Arial" w:cs="Arial"/>
          <w:szCs w:val="24"/>
        </w:rPr>
        <w:t>is</w:t>
      </w:r>
      <w:r w:rsidRPr="003048F2">
        <w:rPr>
          <w:rFonts w:ascii="Arial" w:hAnsi="Arial" w:cs="Arial"/>
          <w:szCs w:val="24"/>
        </w:rPr>
        <w:t xml:space="preserve"> conditional on the </w:t>
      </w:r>
      <w:r w:rsidR="00680436">
        <w:rPr>
          <w:rFonts w:ascii="Arial" w:hAnsi="Arial" w:cs="Arial"/>
          <w:szCs w:val="24"/>
        </w:rPr>
        <w:t xml:space="preserve">completion </w:t>
      </w:r>
      <w:r w:rsidRPr="003048F2">
        <w:rPr>
          <w:rFonts w:ascii="Arial" w:hAnsi="Arial" w:cs="Arial"/>
          <w:szCs w:val="24"/>
        </w:rPr>
        <w:t xml:space="preserve">of a </w:t>
      </w:r>
      <w:r w:rsidR="00B22EAC">
        <w:rPr>
          <w:rFonts w:ascii="Arial" w:hAnsi="Arial" w:cs="Arial"/>
          <w:szCs w:val="24"/>
        </w:rPr>
        <w:t xml:space="preserve">draft </w:t>
      </w:r>
      <w:r w:rsidRPr="003048F2">
        <w:rPr>
          <w:rFonts w:ascii="Arial" w:hAnsi="Arial" w:cs="Arial"/>
          <w:szCs w:val="24"/>
        </w:rPr>
        <w:t xml:space="preserve">Delivery Plan with </w:t>
      </w:r>
      <w:r w:rsidR="00605A2E">
        <w:rPr>
          <w:rFonts w:ascii="Arial" w:hAnsi="Arial" w:cs="Arial"/>
          <w:szCs w:val="24"/>
        </w:rPr>
        <w:t>G</w:t>
      </w:r>
      <w:r w:rsidRPr="003048F2">
        <w:rPr>
          <w:rFonts w:ascii="Arial" w:hAnsi="Arial" w:cs="Arial"/>
          <w:szCs w:val="24"/>
        </w:rPr>
        <w:t>overnment officials and the</w:t>
      </w:r>
      <w:r w:rsidR="00680436">
        <w:rPr>
          <w:rFonts w:ascii="Arial" w:hAnsi="Arial" w:cs="Arial"/>
          <w:szCs w:val="24"/>
        </w:rPr>
        <w:t xml:space="preserve"> subsequent</w:t>
      </w:r>
      <w:r w:rsidRPr="003048F2">
        <w:rPr>
          <w:rFonts w:ascii="Arial" w:hAnsi="Arial" w:cs="Arial"/>
          <w:szCs w:val="24"/>
        </w:rPr>
        <w:t xml:space="preserve"> approval of all of the Oxfordshire </w:t>
      </w:r>
      <w:r w:rsidR="00605A2E">
        <w:rPr>
          <w:rFonts w:ascii="Arial" w:hAnsi="Arial" w:cs="Arial"/>
          <w:szCs w:val="24"/>
        </w:rPr>
        <w:t xml:space="preserve">Partners </w:t>
      </w:r>
      <w:r w:rsidR="00680436">
        <w:rPr>
          <w:rFonts w:ascii="Arial" w:hAnsi="Arial" w:cs="Arial"/>
          <w:szCs w:val="24"/>
        </w:rPr>
        <w:t>and the Secretary of State</w:t>
      </w:r>
      <w:r w:rsidRPr="003048F2">
        <w:rPr>
          <w:rFonts w:ascii="Arial" w:hAnsi="Arial" w:cs="Arial"/>
          <w:szCs w:val="24"/>
        </w:rPr>
        <w:t xml:space="preserve">. </w:t>
      </w:r>
      <w:bookmarkStart w:id="1" w:name="_Ref497737596"/>
      <w:r w:rsidR="00E069D4">
        <w:rPr>
          <w:rFonts w:ascii="Arial" w:hAnsi="Arial" w:cs="Arial"/>
          <w:szCs w:val="24"/>
        </w:rPr>
        <w:t>The work on agreeing the Delivery Plan with government officials is in the final stages</w:t>
      </w:r>
      <w:proofErr w:type="gramStart"/>
      <w:r w:rsidR="00E069D4">
        <w:rPr>
          <w:rFonts w:ascii="Arial" w:hAnsi="Arial" w:cs="Arial"/>
          <w:szCs w:val="24"/>
        </w:rPr>
        <w:t xml:space="preserve">.  </w:t>
      </w:r>
      <w:proofErr w:type="gramEnd"/>
      <w:r w:rsidR="00E069D4">
        <w:rPr>
          <w:rFonts w:ascii="Arial" w:hAnsi="Arial" w:cs="Arial"/>
          <w:szCs w:val="24"/>
        </w:rPr>
        <w:t xml:space="preserve">Decisions on the deal from each of the authorities </w:t>
      </w:r>
      <w:proofErr w:type="gramStart"/>
      <w:r w:rsidR="00E069D4">
        <w:rPr>
          <w:rFonts w:ascii="Arial" w:hAnsi="Arial" w:cs="Arial"/>
          <w:szCs w:val="24"/>
        </w:rPr>
        <w:t>will be taken</w:t>
      </w:r>
      <w:proofErr w:type="gramEnd"/>
      <w:r w:rsidR="00E069D4">
        <w:rPr>
          <w:rFonts w:ascii="Arial" w:hAnsi="Arial" w:cs="Arial"/>
          <w:szCs w:val="24"/>
        </w:rPr>
        <w:t xml:space="preserve"> in February.</w:t>
      </w:r>
    </w:p>
    <w:p w14:paraId="7B0BFFAB" w14:textId="77777777" w:rsidR="003048F2" w:rsidRPr="003048F2" w:rsidRDefault="003048F2" w:rsidP="008C7523">
      <w:pPr>
        <w:pStyle w:val="ReportPara"/>
        <w:numPr>
          <w:ilvl w:val="0"/>
          <w:numId w:val="0"/>
        </w:numPr>
        <w:tabs>
          <w:tab w:val="num" w:pos="426"/>
        </w:tabs>
        <w:spacing w:after="0"/>
        <w:ind w:left="426"/>
        <w:rPr>
          <w:rFonts w:ascii="Arial" w:hAnsi="Arial" w:cs="Arial"/>
          <w:szCs w:val="24"/>
        </w:rPr>
      </w:pPr>
    </w:p>
    <w:p w14:paraId="165C4786" w14:textId="0F52FF8C" w:rsidR="00227412" w:rsidRDefault="00227412" w:rsidP="004C4B90">
      <w:pPr>
        <w:pStyle w:val="ReportPara"/>
        <w:numPr>
          <w:ilvl w:val="0"/>
          <w:numId w:val="45"/>
        </w:numPr>
        <w:spacing w:after="0"/>
        <w:rPr>
          <w:rFonts w:ascii="Arial" w:hAnsi="Arial" w:cs="Arial"/>
          <w:szCs w:val="24"/>
        </w:rPr>
      </w:pPr>
      <w:r w:rsidRPr="003048F2">
        <w:rPr>
          <w:rFonts w:ascii="Arial" w:hAnsi="Arial" w:cs="Arial"/>
          <w:szCs w:val="24"/>
        </w:rPr>
        <w:t xml:space="preserve">If </w:t>
      </w:r>
      <w:r w:rsidR="00CC442E">
        <w:rPr>
          <w:rFonts w:ascii="Arial" w:hAnsi="Arial" w:cs="Arial"/>
          <w:szCs w:val="24"/>
        </w:rPr>
        <w:t>all Oxfordshire Partners approve the Deal</w:t>
      </w:r>
      <w:r w:rsidRPr="003048F2">
        <w:rPr>
          <w:rFonts w:ascii="Arial" w:hAnsi="Arial" w:cs="Arial"/>
          <w:szCs w:val="24"/>
        </w:rPr>
        <w:t xml:space="preserve">, this will be confirmed in writing to the Secretary of State along with submission of the </w:t>
      </w:r>
      <w:r w:rsidR="00B22EAC">
        <w:rPr>
          <w:rFonts w:ascii="Arial" w:hAnsi="Arial" w:cs="Arial"/>
          <w:szCs w:val="24"/>
        </w:rPr>
        <w:t xml:space="preserve">agreed </w:t>
      </w:r>
      <w:r w:rsidRPr="003048F2">
        <w:rPr>
          <w:rFonts w:ascii="Arial" w:hAnsi="Arial" w:cs="Arial"/>
          <w:szCs w:val="24"/>
        </w:rPr>
        <w:t>Delivery Plan</w:t>
      </w:r>
      <w:r w:rsidR="00B22EAC">
        <w:rPr>
          <w:rFonts w:ascii="Arial" w:hAnsi="Arial" w:cs="Arial"/>
          <w:szCs w:val="24"/>
        </w:rPr>
        <w:t xml:space="preserve">. </w:t>
      </w:r>
    </w:p>
    <w:p w14:paraId="71560DBA" w14:textId="77777777" w:rsidR="008C7523" w:rsidRDefault="008C7523" w:rsidP="008C7523">
      <w:pPr>
        <w:pStyle w:val="ReportPara"/>
        <w:numPr>
          <w:ilvl w:val="0"/>
          <w:numId w:val="0"/>
        </w:numPr>
        <w:tabs>
          <w:tab w:val="num" w:pos="426"/>
        </w:tabs>
        <w:spacing w:after="0"/>
        <w:ind w:left="426"/>
        <w:rPr>
          <w:rFonts w:ascii="Arial" w:hAnsi="Arial" w:cs="Arial"/>
          <w:szCs w:val="24"/>
        </w:rPr>
      </w:pPr>
    </w:p>
    <w:p w14:paraId="61811296" w14:textId="77777777" w:rsidR="008C7523" w:rsidRPr="008C7523" w:rsidRDefault="008C7523" w:rsidP="004C4B90">
      <w:pPr>
        <w:pStyle w:val="ReportPara"/>
        <w:numPr>
          <w:ilvl w:val="0"/>
          <w:numId w:val="45"/>
        </w:numPr>
        <w:rPr>
          <w:rFonts w:ascii="Arial" w:hAnsi="Arial" w:cs="Arial"/>
          <w:szCs w:val="24"/>
        </w:rPr>
      </w:pPr>
      <w:r w:rsidRPr="008C7523">
        <w:rPr>
          <w:rFonts w:ascii="Arial" w:hAnsi="Arial" w:cs="Arial"/>
          <w:szCs w:val="24"/>
        </w:rPr>
        <w:t>The key elements of the deal, as set out in the Outline Agreement are:</w:t>
      </w:r>
    </w:p>
    <w:p w14:paraId="7FB9EA00" w14:textId="3939A7C0" w:rsidR="008C7523" w:rsidRPr="008C7523" w:rsidRDefault="008C7523" w:rsidP="004C4B90">
      <w:pPr>
        <w:pStyle w:val="ReportPara"/>
        <w:numPr>
          <w:ilvl w:val="0"/>
          <w:numId w:val="46"/>
        </w:numPr>
        <w:rPr>
          <w:rFonts w:ascii="Arial" w:hAnsi="Arial" w:cs="Arial"/>
          <w:szCs w:val="24"/>
        </w:rPr>
      </w:pPr>
      <w:r w:rsidRPr="008C7523">
        <w:rPr>
          <w:rFonts w:ascii="Arial" w:hAnsi="Arial" w:cs="Arial"/>
          <w:szCs w:val="24"/>
        </w:rPr>
        <w:t>Strategic Housing and Infrastructure Delivery</w:t>
      </w:r>
    </w:p>
    <w:p w14:paraId="1A52F4A5" w14:textId="73E53ADA" w:rsidR="008C7523" w:rsidRPr="008C7523" w:rsidRDefault="008C7523" w:rsidP="004C4B90">
      <w:pPr>
        <w:pStyle w:val="ReportPara"/>
        <w:numPr>
          <w:ilvl w:val="0"/>
          <w:numId w:val="46"/>
        </w:numPr>
        <w:rPr>
          <w:rFonts w:ascii="Arial" w:hAnsi="Arial" w:cs="Arial"/>
          <w:szCs w:val="24"/>
        </w:rPr>
      </w:pPr>
      <w:r w:rsidRPr="008C7523">
        <w:rPr>
          <w:rFonts w:ascii="Arial" w:hAnsi="Arial" w:cs="Arial"/>
          <w:szCs w:val="24"/>
        </w:rPr>
        <w:t>A Joint Statutory Spatial Plan and Planning Flexibilities</w:t>
      </w:r>
    </w:p>
    <w:p w14:paraId="7B800E1E" w14:textId="3C0FAFB0" w:rsidR="008C7523" w:rsidRPr="008C7523" w:rsidRDefault="008C7523" w:rsidP="004C4B90">
      <w:pPr>
        <w:pStyle w:val="ReportPara"/>
        <w:numPr>
          <w:ilvl w:val="0"/>
          <w:numId w:val="46"/>
        </w:numPr>
        <w:rPr>
          <w:rFonts w:ascii="Arial" w:hAnsi="Arial" w:cs="Arial"/>
          <w:szCs w:val="24"/>
        </w:rPr>
      </w:pPr>
      <w:r w:rsidRPr="008C7523">
        <w:rPr>
          <w:rFonts w:ascii="Arial" w:hAnsi="Arial" w:cs="Arial"/>
          <w:szCs w:val="24"/>
        </w:rPr>
        <w:t>Productivity</w:t>
      </w:r>
    </w:p>
    <w:p w14:paraId="6D3091A8" w14:textId="77777777" w:rsidR="003A0D8E" w:rsidRPr="003048F2" w:rsidRDefault="003A0D8E" w:rsidP="003048F2">
      <w:pPr>
        <w:pStyle w:val="ReportPara"/>
        <w:numPr>
          <w:ilvl w:val="0"/>
          <w:numId w:val="0"/>
        </w:numPr>
        <w:spacing w:after="0"/>
        <w:ind w:left="1142"/>
        <w:rPr>
          <w:rFonts w:ascii="Arial" w:hAnsi="Arial" w:cs="Arial"/>
          <w:szCs w:val="24"/>
        </w:rPr>
      </w:pPr>
    </w:p>
    <w:p w14:paraId="7B50B9C9" w14:textId="77777777" w:rsidR="003E4558" w:rsidRDefault="003E4558" w:rsidP="004C4B90">
      <w:pPr>
        <w:pStyle w:val="ReportPara"/>
        <w:numPr>
          <w:ilvl w:val="0"/>
          <w:numId w:val="0"/>
        </w:numPr>
        <w:spacing w:after="0"/>
        <w:ind w:left="720"/>
        <w:jc w:val="both"/>
        <w:rPr>
          <w:rFonts w:ascii="Arial" w:hAnsi="Arial" w:cs="Arial"/>
          <w:b/>
          <w:szCs w:val="24"/>
        </w:rPr>
      </w:pPr>
      <w:r w:rsidRPr="003048F2">
        <w:rPr>
          <w:rFonts w:ascii="Arial" w:hAnsi="Arial" w:cs="Arial"/>
          <w:b/>
          <w:szCs w:val="24"/>
        </w:rPr>
        <w:t>Strategic Housing and Infrastructure Delivery</w:t>
      </w:r>
    </w:p>
    <w:p w14:paraId="62F4599D" w14:textId="77777777" w:rsidR="003048F2" w:rsidRPr="003048F2" w:rsidRDefault="003048F2" w:rsidP="003048F2">
      <w:pPr>
        <w:pStyle w:val="ReportPara"/>
        <w:numPr>
          <w:ilvl w:val="0"/>
          <w:numId w:val="0"/>
        </w:numPr>
        <w:spacing w:after="0"/>
        <w:ind w:left="1142" w:hanging="432"/>
        <w:jc w:val="both"/>
        <w:rPr>
          <w:rFonts w:ascii="Arial" w:hAnsi="Arial" w:cs="Arial"/>
          <w:b/>
          <w:szCs w:val="24"/>
        </w:rPr>
      </w:pPr>
    </w:p>
    <w:p w14:paraId="531ED724" w14:textId="0851A27E" w:rsidR="003E4558" w:rsidRDefault="008E60CD" w:rsidP="004C4B90">
      <w:pPr>
        <w:pStyle w:val="ReportPara"/>
        <w:numPr>
          <w:ilvl w:val="0"/>
          <w:numId w:val="45"/>
        </w:numPr>
        <w:spacing w:after="0"/>
        <w:rPr>
          <w:rFonts w:ascii="Arial" w:hAnsi="Arial" w:cs="Arial"/>
          <w:szCs w:val="24"/>
        </w:rPr>
      </w:pPr>
      <w:r>
        <w:rPr>
          <w:rFonts w:ascii="Arial" w:hAnsi="Arial" w:cs="Arial"/>
          <w:szCs w:val="24"/>
        </w:rPr>
        <w:t>Under the terms of the D</w:t>
      </w:r>
      <w:r w:rsidR="003E4558" w:rsidRPr="003048F2">
        <w:rPr>
          <w:rFonts w:ascii="Arial" w:hAnsi="Arial" w:cs="Arial"/>
          <w:szCs w:val="24"/>
        </w:rPr>
        <w:t xml:space="preserve">eal the Government will provide </w:t>
      </w:r>
      <w:proofErr w:type="gramStart"/>
      <w:r w:rsidR="003E4558" w:rsidRPr="003048F2">
        <w:rPr>
          <w:rFonts w:ascii="Arial" w:hAnsi="Arial" w:cs="Arial"/>
          <w:szCs w:val="24"/>
        </w:rPr>
        <w:t>Oxfordshire’s</w:t>
      </w:r>
      <w:proofErr w:type="gramEnd"/>
      <w:r w:rsidR="003E4558" w:rsidRPr="003048F2">
        <w:rPr>
          <w:rFonts w:ascii="Arial" w:hAnsi="Arial" w:cs="Arial"/>
          <w:szCs w:val="24"/>
        </w:rPr>
        <w:t xml:space="preserve"> six local authorities £150 million of funding (£30m for five years) for infrastructure improvements and £60 million of</w:t>
      </w:r>
      <w:r w:rsidR="003C70DF">
        <w:rPr>
          <w:rFonts w:ascii="Arial" w:hAnsi="Arial" w:cs="Arial"/>
          <w:szCs w:val="24"/>
        </w:rPr>
        <w:t xml:space="preserve"> funding</w:t>
      </w:r>
      <w:r>
        <w:rPr>
          <w:rFonts w:ascii="Arial" w:hAnsi="Arial" w:cs="Arial"/>
          <w:szCs w:val="24"/>
        </w:rPr>
        <w:t xml:space="preserve"> (over three years) for affordable housing, </w:t>
      </w:r>
      <w:r w:rsidR="00680436">
        <w:rPr>
          <w:rFonts w:ascii="Arial" w:hAnsi="Arial" w:cs="Arial"/>
          <w:szCs w:val="24"/>
        </w:rPr>
        <w:t>and £5m capacity funding.</w:t>
      </w:r>
    </w:p>
    <w:p w14:paraId="17E59E55" w14:textId="77777777" w:rsidR="003C70DF" w:rsidRDefault="003C70DF" w:rsidP="00475EB4">
      <w:pPr>
        <w:pStyle w:val="ReportPara"/>
        <w:numPr>
          <w:ilvl w:val="0"/>
          <w:numId w:val="0"/>
        </w:numPr>
        <w:spacing w:after="0"/>
        <w:ind w:left="426"/>
        <w:rPr>
          <w:rFonts w:ascii="Arial" w:hAnsi="Arial" w:cs="Arial"/>
          <w:szCs w:val="24"/>
        </w:rPr>
      </w:pPr>
    </w:p>
    <w:p w14:paraId="2E10AD48" w14:textId="55F8497C" w:rsidR="00CC442E" w:rsidRDefault="003C70DF" w:rsidP="004C4B90">
      <w:pPr>
        <w:pStyle w:val="ReportPara"/>
        <w:numPr>
          <w:ilvl w:val="0"/>
          <w:numId w:val="45"/>
        </w:numPr>
        <w:spacing w:after="0"/>
        <w:rPr>
          <w:rFonts w:ascii="Arial" w:hAnsi="Arial" w:cs="Arial"/>
          <w:szCs w:val="24"/>
        </w:rPr>
      </w:pPr>
      <w:r w:rsidRPr="003C70DF">
        <w:rPr>
          <w:rFonts w:ascii="Arial" w:hAnsi="Arial" w:cs="Arial"/>
          <w:szCs w:val="24"/>
        </w:rPr>
        <w:t xml:space="preserve">The </w:t>
      </w:r>
      <w:r w:rsidR="008E60CD">
        <w:rPr>
          <w:rFonts w:ascii="Arial" w:hAnsi="Arial" w:cs="Arial"/>
          <w:szCs w:val="24"/>
        </w:rPr>
        <w:t xml:space="preserve">Growth </w:t>
      </w:r>
      <w:r>
        <w:rPr>
          <w:rFonts w:ascii="Arial" w:hAnsi="Arial" w:cs="Arial"/>
          <w:szCs w:val="24"/>
        </w:rPr>
        <w:t>Board will recall that investment</w:t>
      </w:r>
      <w:r w:rsidRPr="003C70DF">
        <w:rPr>
          <w:rFonts w:ascii="Arial" w:hAnsi="Arial" w:cs="Arial"/>
          <w:szCs w:val="24"/>
        </w:rPr>
        <w:t xml:space="preserve"> in infrastructure </w:t>
      </w:r>
      <w:proofErr w:type="gramStart"/>
      <w:r w:rsidRPr="003C70DF">
        <w:rPr>
          <w:rFonts w:ascii="Arial" w:hAnsi="Arial" w:cs="Arial"/>
          <w:szCs w:val="24"/>
        </w:rPr>
        <w:t>is recognised</w:t>
      </w:r>
      <w:proofErr w:type="gramEnd"/>
      <w:r w:rsidRPr="003C70DF">
        <w:rPr>
          <w:rFonts w:ascii="Arial" w:hAnsi="Arial" w:cs="Arial"/>
          <w:szCs w:val="24"/>
        </w:rPr>
        <w:t xml:space="preserve"> in the Oxfordshire Infrastructure strategy (OxIS) as a prime requirement of sustainable growth</w:t>
      </w:r>
      <w:r w:rsidR="00CC442E">
        <w:rPr>
          <w:rFonts w:ascii="Arial" w:hAnsi="Arial" w:cs="Arial"/>
          <w:szCs w:val="24"/>
        </w:rPr>
        <w:t xml:space="preserve"> with £8.35 bn </w:t>
      </w:r>
      <w:r w:rsidR="00593B98">
        <w:rPr>
          <w:rFonts w:ascii="Arial" w:hAnsi="Arial" w:cs="Arial"/>
          <w:szCs w:val="24"/>
        </w:rPr>
        <w:t xml:space="preserve">of infrastructure </w:t>
      </w:r>
      <w:r w:rsidRPr="003C70DF">
        <w:rPr>
          <w:rFonts w:ascii="Arial" w:hAnsi="Arial" w:cs="Arial"/>
          <w:szCs w:val="24"/>
        </w:rPr>
        <w:t xml:space="preserve">identified </w:t>
      </w:r>
      <w:r w:rsidR="00CC442E">
        <w:rPr>
          <w:rFonts w:ascii="Arial" w:hAnsi="Arial" w:cs="Arial"/>
          <w:szCs w:val="24"/>
        </w:rPr>
        <w:t>as</w:t>
      </w:r>
      <w:r w:rsidRPr="003C70DF">
        <w:rPr>
          <w:rFonts w:ascii="Arial" w:hAnsi="Arial" w:cs="Arial"/>
          <w:szCs w:val="24"/>
        </w:rPr>
        <w:t xml:space="preserve"> needed for Oxfordshire by 2040. </w:t>
      </w:r>
    </w:p>
    <w:p w14:paraId="0247DA43" w14:textId="77777777" w:rsidR="00CC442E" w:rsidRDefault="00CC442E" w:rsidP="00475EB4">
      <w:pPr>
        <w:pStyle w:val="ReportPara"/>
        <w:numPr>
          <w:ilvl w:val="0"/>
          <w:numId w:val="0"/>
        </w:numPr>
        <w:spacing w:after="0"/>
        <w:ind w:left="426"/>
        <w:rPr>
          <w:rFonts w:ascii="Arial" w:hAnsi="Arial" w:cs="Arial"/>
          <w:szCs w:val="24"/>
        </w:rPr>
      </w:pPr>
    </w:p>
    <w:p w14:paraId="73FB0A0B" w14:textId="77777777" w:rsidR="00A91BD5" w:rsidRDefault="00A91BD5" w:rsidP="00A91BD5">
      <w:pPr>
        <w:pStyle w:val="ReportPara"/>
        <w:numPr>
          <w:ilvl w:val="0"/>
          <w:numId w:val="0"/>
        </w:numPr>
        <w:spacing w:after="0"/>
        <w:ind w:left="720"/>
        <w:rPr>
          <w:rFonts w:ascii="Arial" w:hAnsi="Arial" w:cs="Arial"/>
          <w:szCs w:val="24"/>
        </w:rPr>
      </w:pPr>
    </w:p>
    <w:p w14:paraId="00BD3B8A" w14:textId="77777777" w:rsidR="00A91BD5" w:rsidRDefault="00A91BD5" w:rsidP="00A91BD5">
      <w:pPr>
        <w:pStyle w:val="ListParagraph"/>
        <w:rPr>
          <w:rFonts w:ascii="Arial" w:hAnsi="Arial" w:cs="Arial"/>
          <w:szCs w:val="24"/>
        </w:rPr>
      </w:pPr>
    </w:p>
    <w:p w14:paraId="743E5EBA" w14:textId="77777777" w:rsidR="005B06A6" w:rsidRDefault="005B06A6" w:rsidP="00A91BD5">
      <w:pPr>
        <w:pStyle w:val="ReportPara"/>
        <w:numPr>
          <w:ilvl w:val="0"/>
          <w:numId w:val="0"/>
        </w:numPr>
        <w:spacing w:after="0"/>
        <w:ind w:left="720"/>
        <w:rPr>
          <w:rFonts w:ascii="Arial" w:hAnsi="Arial" w:cs="Arial"/>
          <w:szCs w:val="24"/>
        </w:rPr>
      </w:pPr>
    </w:p>
    <w:p w14:paraId="5EF7D946" w14:textId="50D4798C" w:rsidR="003C70DF" w:rsidRDefault="003C70DF" w:rsidP="00A91BD5">
      <w:pPr>
        <w:pStyle w:val="ReportPara"/>
        <w:numPr>
          <w:ilvl w:val="0"/>
          <w:numId w:val="0"/>
        </w:numPr>
        <w:spacing w:after="0"/>
        <w:ind w:left="720"/>
        <w:rPr>
          <w:rFonts w:ascii="Arial" w:hAnsi="Arial" w:cs="Arial"/>
          <w:szCs w:val="24"/>
        </w:rPr>
      </w:pPr>
      <w:r>
        <w:rPr>
          <w:rFonts w:ascii="Arial" w:hAnsi="Arial" w:cs="Arial"/>
          <w:szCs w:val="24"/>
        </w:rPr>
        <w:t>Whilst a</w:t>
      </w:r>
      <w:r w:rsidRPr="003C70DF">
        <w:rPr>
          <w:rFonts w:ascii="Arial" w:hAnsi="Arial" w:cs="Arial"/>
          <w:szCs w:val="24"/>
        </w:rPr>
        <w:t xml:space="preserve"> substantial part of this requirement will be provided from national  infrastructure fund</w:t>
      </w:r>
      <w:r w:rsidR="00605A2E">
        <w:rPr>
          <w:rFonts w:ascii="Arial" w:hAnsi="Arial" w:cs="Arial"/>
          <w:szCs w:val="24"/>
        </w:rPr>
        <w:t>s</w:t>
      </w:r>
      <w:r w:rsidRPr="003C70DF">
        <w:rPr>
          <w:rFonts w:ascii="Arial" w:hAnsi="Arial" w:cs="Arial"/>
          <w:szCs w:val="24"/>
        </w:rPr>
        <w:t xml:space="preserve"> and develop</w:t>
      </w:r>
      <w:r>
        <w:rPr>
          <w:rFonts w:ascii="Arial" w:hAnsi="Arial" w:cs="Arial"/>
          <w:szCs w:val="24"/>
        </w:rPr>
        <w:t>er contributions, c</w:t>
      </w:r>
      <w:r w:rsidRPr="003C70DF">
        <w:rPr>
          <w:rFonts w:ascii="Arial" w:hAnsi="Arial" w:cs="Arial"/>
          <w:szCs w:val="24"/>
        </w:rPr>
        <w:t xml:space="preserve">losing the remaining </w:t>
      </w:r>
      <w:r w:rsidR="00605A2E">
        <w:rPr>
          <w:rFonts w:ascii="Arial" w:hAnsi="Arial" w:cs="Arial"/>
          <w:szCs w:val="24"/>
        </w:rPr>
        <w:t xml:space="preserve">funding </w:t>
      </w:r>
      <w:r w:rsidRPr="003C70DF">
        <w:rPr>
          <w:rFonts w:ascii="Arial" w:hAnsi="Arial" w:cs="Arial"/>
          <w:szCs w:val="24"/>
        </w:rPr>
        <w:t xml:space="preserve">gap will </w:t>
      </w:r>
      <w:r w:rsidRPr="003C70DF">
        <w:rPr>
          <w:rFonts w:ascii="Arial" w:hAnsi="Arial" w:cs="Arial"/>
          <w:szCs w:val="24"/>
        </w:rPr>
        <w:lastRenderedPageBreak/>
        <w:t xml:space="preserve">take a long term and sustained approach from the Oxfordshire Partners to maximise opportunities to secure investment.  </w:t>
      </w:r>
    </w:p>
    <w:p w14:paraId="61306AA0" w14:textId="77777777" w:rsidR="003048F2" w:rsidRPr="003048F2" w:rsidRDefault="003048F2" w:rsidP="003048F2">
      <w:pPr>
        <w:pStyle w:val="ReportPara"/>
        <w:numPr>
          <w:ilvl w:val="0"/>
          <w:numId w:val="0"/>
        </w:numPr>
        <w:spacing w:after="0"/>
        <w:ind w:left="1142"/>
        <w:rPr>
          <w:rFonts w:ascii="Arial" w:hAnsi="Arial" w:cs="Arial"/>
          <w:szCs w:val="24"/>
        </w:rPr>
      </w:pPr>
    </w:p>
    <w:p w14:paraId="19776135" w14:textId="31BB4FEE" w:rsidR="003E4558" w:rsidRDefault="003E4558" w:rsidP="004C4B90">
      <w:pPr>
        <w:pStyle w:val="ReportPara"/>
        <w:numPr>
          <w:ilvl w:val="0"/>
          <w:numId w:val="45"/>
        </w:numPr>
        <w:spacing w:after="0"/>
        <w:jc w:val="both"/>
        <w:rPr>
          <w:rFonts w:ascii="Arial" w:hAnsi="Arial" w:cs="Arial"/>
          <w:szCs w:val="24"/>
        </w:rPr>
      </w:pPr>
      <w:r w:rsidRPr="003048F2">
        <w:rPr>
          <w:rFonts w:ascii="Arial" w:hAnsi="Arial" w:cs="Arial"/>
          <w:szCs w:val="24"/>
        </w:rPr>
        <w:t xml:space="preserve">The </w:t>
      </w:r>
      <w:r w:rsidR="00475EB4">
        <w:rPr>
          <w:rFonts w:ascii="Arial" w:hAnsi="Arial" w:cs="Arial"/>
          <w:szCs w:val="24"/>
        </w:rPr>
        <w:t xml:space="preserve">intention </w:t>
      </w:r>
      <w:r w:rsidR="00B66A05">
        <w:rPr>
          <w:rFonts w:ascii="Arial" w:hAnsi="Arial" w:cs="Arial"/>
          <w:szCs w:val="24"/>
        </w:rPr>
        <w:t xml:space="preserve">therefore </w:t>
      </w:r>
      <w:r w:rsidR="00475EB4">
        <w:rPr>
          <w:rFonts w:ascii="Arial" w:hAnsi="Arial" w:cs="Arial"/>
          <w:szCs w:val="24"/>
        </w:rPr>
        <w:t xml:space="preserve">is that the funding for infrastructure </w:t>
      </w:r>
      <w:r w:rsidR="00605A2E">
        <w:rPr>
          <w:rFonts w:ascii="Arial" w:hAnsi="Arial" w:cs="Arial"/>
          <w:szCs w:val="24"/>
        </w:rPr>
        <w:t xml:space="preserve">from the Deal </w:t>
      </w:r>
      <w:r w:rsidR="00475EB4">
        <w:rPr>
          <w:rFonts w:ascii="Arial" w:hAnsi="Arial" w:cs="Arial"/>
          <w:szCs w:val="24"/>
        </w:rPr>
        <w:t xml:space="preserve">will help us to bring forward </w:t>
      </w:r>
      <w:r w:rsidR="00070217">
        <w:rPr>
          <w:rFonts w:ascii="Arial" w:hAnsi="Arial" w:cs="Arial"/>
          <w:szCs w:val="24"/>
        </w:rPr>
        <w:t>housing that</w:t>
      </w:r>
      <w:r w:rsidR="00D26888">
        <w:rPr>
          <w:rFonts w:ascii="Arial" w:hAnsi="Arial" w:cs="Arial"/>
          <w:szCs w:val="24"/>
        </w:rPr>
        <w:t xml:space="preserve"> is in Local Plans but</w:t>
      </w:r>
      <w:r w:rsidR="00475EB4">
        <w:rPr>
          <w:rFonts w:ascii="Arial" w:hAnsi="Arial" w:cs="Arial"/>
          <w:szCs w:val="24"/>
        </w:rPr>
        <w:t xml:space="preserve"> is </w:t>
      </w:r>
      <w:r w:rsidR="00672118">
        <w:rPr>
          <w:rFonts w:ascii="Arial" w:hAnsi="Arial" w:cs="Arial"/>
          <w:szCs w:val="24"/>
        </w:rPr>
        <w:t xml:space="preserve">dependent upon infrastructure that is as yet unfunded. Consequently funding secured </w:t>
      </w:r>
      <w:r w:rsidRPr="003048F2">
        <w:rPr>
          <w:rFonts w:ascii="Arial" w:hAnsi="Arial" w:cs="Arial"/>
          <w:szCs w:val="24"/>
        </w:rPr>
        <w:t xml:space="preserve">through the Deal, together with further anticipated funding from other opportunities </w:t>
      </w:r>
      <w:r w:rsidR="00B66A05">
        <w:rPr>
          <w:rFonts w:ascii="Arial" w:hAnsi="Arial" w:cs="Arial"/>
          <w:szCs w:val="24"/>
        </w:rPr>
        <w:t>such as the recently submitted Housing Infrastructure F</w:t>
      </w:r>
      <w:r w:rsidR="00B66A05" w:rsidRPr="00B66A05">
        <w:rPr>
          <w:rFonts w:ascii="Arial" w:hAnsi="Arial" w:cs="Arial"/>
          <w:szCs w:val="24"/>
        </w:rPr>
        <w:t xml:space="preserve">und bids </w:t>
      </w:r>
      <w:r w:rsidR="00B66A05">
        <w:rPr>
          <w:rFonts w:ascii="Arial" w:hAnsi="Arial" w:cs="Arial"/>
          <w:szCs w:val="24"/>
        </w:rPr>
        <w:t xml:space="preserve">(HIF) bids </w:t>
      </w:r>
      <w:r w:rsidRPr="003048F2">
        <w:rPr>
          <w:rFonts w:ascii="Arial" w:hAnsi="Arial" w:cs="Arial"/>
          <w:szCs w:val="24"/>
        </w:rPr>
        <w:t xml:space="preserve">will help </w:t>
      </w:r>
      <w:r w:rsidR="00D26888">
        <w:rPr>
          <w:rFonts w:ascii="Arial" w:hAnsi="Arial" w:cs="Arial"/>
          <w:szCs w:val="24"/>
        </w:rPr>
        <w:t>unlock</w:t>
      </w:r>
      <w:r w:rsidR="00D26888" w:rsidRPr="003048F2">
        <w:rPr>
          <w:rFonts w:ascii="Arial" w:hAnsi="Arial" w:cs="Arial"/>
          <w:szCs w:val="24"/>
        </w:rPr>
        <w:t xml:space="preserve"> </w:t>
      </w:r>
      <w:r w:rsidRPr="003048F2">
        <w:rPr>
          <w:rFonts w:ascii="Arial" w:hAnsi="Arial" w:cs="Arial"/>
          <w:szCs w:val="24"/>
        </w:rPr>
        <w:t xml:space="preserve">the delivery of </w:t>
      </w:r>
      <w:r w:rsidR="003C70DF">
        <w:rPr>
          <w:rFonts w:ascii="Arial" w:hAnsi="Arial" w:cs="Arial"/>
          <w:szCs w:val="24"/>
        </w:rPr>
        <w:t xml:space="preserve">these </w:t>
      </w:r>
      <w:r w:rsidR="00B66A05">
        <w:rPr>
          <w:rFonts w:ascii="Arial" w:hAnsi="Arial" w:cs="Arial"/>
          <w:szCs w:val="24"/>
        </w:rPr>
        <w:t xml:space="preserve">planned homes </w:t>
      </w:r>
      <w:r w:rsidRPr="003048F2">
        <w:rPr>
          <w:rFonts w:ascii="Arial" w:hAnsi="Arial" w:cs="Arial"/>
          <w:szCs w:val="24"/>
        </w:rPr>
        <w:t xml:space="preserve">in a way that </w:t>
      </w:r>
      <w:r w:rsidR="00B66A05">
        <w:rPr>
          <w:rFonts w:ascii="Arial" w:hAnsi="Arial" w:cs="Arial"/>
          <w:szCs w:val="24"/>
        </w:rPr>
        <w:t xml:space="preserve">ensures </w:t>
      </w:r>
      <w:r w:rsidR="00A91BD5">
        <w:rPr>
          <w:rFonts w:ascii="Arial" w:hAnsi="Arial" w:cs="Arial"/>
          <w:szCs w:val="24"/>
        </w:rPr>
        <w:t xml:space="preserve">we properly support </w:t>
      </w:r>
      <w:r w:rsidRPr="003048F2">
        <w:rPr>
          <w:rFonts w:ascii="Arial" w:hAnsi="Arial" w:cs="Arial"/>
          <w:szCs w:val="24"/>
        </w:rPr>
        <w:t xml:space="preserve">both </w:t>
      </w:r>
      <w:r w:rsidR="00605A2E">
        <w:rPr>
          <w:rFonts w:ascii="Arial" w:hAnsi="Arial" w:cs="Arial"/>
          <w:szCs w:val="24"/>
        </w:rPr>
        <w:t xml:space="preserve">the </w:t>
      </w:r>
      <w:r w:rsidRPr="003048F2">
        <w:rPr>
          <w:rFonts w:ascii="Arial" w:hAnsi="Arial" w:cs="Arial"/>
          <w:szCs w:val="24"/>
        </w:rPr>
        <w:t xml:space="preserve">existing and new communities created </w:t>
      </w:r>
      <w:r w:rsidR="00A91BD5">
        <w:rPr>
          <w:rFonts w:ascii="Arial" w:hAnsi="Arial" w:cs="Arial"/>
          <w:szCs w:val="24"/>
        </w:rPr>
        <w:t>with</w:t>
      </w:r>
      <w:r w:rsidRPr="003048F2">
        <w:rPr>
          <w:rFonts w:ascii="Arial" w:hAnsi="Arial" w:cs="Arial"/>
          <w:szCs w:val="24"/>
        </w:rPr>
        <w:t xml:space="preserve"> enhanced transport and social infrastructure.</w:t>
      </w:r>
    </w:p>
    <w:p w14:paraId="13D8E302" w14:textId="77777777" w:rsidR="003048F2" w:rsidRPr="003048F2" w:rsidRDefault="003048F2" w:rsidP="003048F2">
      <w:pPr>
        <w:pStyle w:val="ReportPara"/>
        <w:numPr>
          <w:ilvl w:val="0"/>
          <w:numId w:val="0"/>
        </w:numPr>
        <w:tabs>
          <w:tab w:val="num" w:pos="1134"/>
        </w:tabs>
        <w:spacing w:after="0"/>
        <w:ind w:left="1080"/>
        <w:jc w:val="both"/>
        <w:rPr>
          <w:rFonts w:ascii="Arial" w:hAnsi="Arial" w:cs="Arial"/>
          <w:szCs w:val="24"/>
        </w:rPr>
      </w:pPr>
    </w:p>
    <w:p w14:paraId="6DF6DFD6" w14:textId="7BA85169" w:rsidR="003048F2" w:rsidRPr="003048F2" w:rsidRDefault="009A6498" w:rsidP="004C4B90">
      <w:pPr>
        <w:pStyle w:val="ReportPara"/>
        <w:numPr>
          <w:ilvl w:val="0"/>
          <w:numId w:val="45"/>
        </w:numPr>
        <w:spacing w:after="0"/>
        <w:jc w:val="both"/>
        <w:rPr>
          <w:rFonts w:ascii="Arial" w:hAnsi="Arial" w:cs="Arial"/>
          <w:szCs w:val="24"/>
        </w:rPr>
      </w:pPr>
      <w:r>
        <w:rPr>
          <w:rFonts w:ascii="Arial" w:hAnsi="Arial" w:cs="Arial"/>
          <w:szCs w:val="24"/>
        </w:rPr>
        <w:t xml:space="preserve">In addition to infrastructure </w:t>
      </w:r>
      <w:r w:rsidR="00A91BD5">
        <w:rPr>
          <w:rFonts w:ascii="Arial" w:hAnsi="Arial" w:cs="Arial"/>
          <w:szCs w:val="24"/>
        </w:rPr>
        <w:t>funding,</w:t>
      </w:r>
      <w:r>
        <w:rPr>
          <w:rFonts w:ascii="Arial" w:hAnsi="Arial" w:cs="Arial"/>
          <w:szCs w:val="24"/>
        </w:rPr>
        <w:t xml:space="preserve"> the </w:t>
      </w:r>
      <w:r w:rsidR="00CF2F5C">
        <w:rPr>
          <w:rFonts w:ascii="Arial" w:hAnsi="Arial" w:cs="Arial"/>
          <w:szCs w:val="24"/>
        </w:rPr>
        <w:t>G</w:t>
      </w:r>
      <w:r>
        <w:rPr>
          <w:rFonts w:ascii="Arial" w:hAnsi="Arial" w:cs="Arial"/>
          <w:szCs w:val="24"/>
        </w:rPr>
        <w:t>overnment are providing £60 million</w:t>
      </w:r>
      <w:r w:rsidR="00CF2F5C">
        <w:rPr>
          <w:rFonts w:ascii="Arial" w:hAnsi="Arial" w:cs="Arial"/>
          <w:szCs w:val="24"/>
        </w:rPr>
        <w:t xml:space="preserve"> over three years for additional affordable housing</w:t>
      </w:r>
      <w:r w:rsidR="00D26888" w:rsidRPr="00D26888">
        <w:rPr>
          <w:rFonts w:ascii="Arial" w:hAnsi="Arial" w:cs="Arial"/>
          <w:szCs w:val="24"/>
        </w:rPr>
        <w:t xml:space="preserve"> </w:t>
      </w:r>
      <w:r w:rsidR="00D26888">
        <w:rPr>
          <w:rFonts w:ascii="Arial" w:hAnsi="Arial" w:cs="Arial"/>
          <w:szCs w:val="24"/>
        </w:rPr>
        <w:t xml:space="preserve">in a bespoke fund for </w:t>
      </w:r>
      <w:r w:rsidR="00E069D4">
        <w:rPr>
          <w:rFonts w:ascii="Arial" w:hAnsi="Arial" w:cs="Arial"/>
          <w:szCs w:val="24"/>
        </w:rPr>
        <w:t>Oxfordshire</w:t>
      </w:r>
      <w:r w:rsidR="00CF2F5C">
        <w:rPr>
          <w:rFonts w:ascii="Arial" w:hAnsi="Arial" w:cs="Arial"/>
          <w:szCs w:val="24"/>
        </w:rPr>
        <w:t>. This will deliver a range of different affordable housing types and tenures over this period and the partners will be exploring ways of maximising the utility of this fund through different delivery models and partnerships.</w:t>
      </w:r>
    </w:p>
    <w:p w14:paraId="24C539A5" w14:textId="77777777" w:rsidR="003048F2" w:rsidRPr="003048F2" w:rsidRDefault="003048F2" w:rsidP="003048F2">
      <w:pPr>
        <w:pStyle w:val="ReportPara"/>
        <w:numPr>
          <w:ilvl w:val="0"/>
          <w:numId w:val="0"/>
        </w:numPr>
        <w:tabs>
          <w:tab w:val="num" w:pos="1142"/>
        </w:tabs>
        <w:spacing w:after="0"/>
        <w:ind w:left="1080"/>
        <w:jc w:val="both"/>
        <w:rPr>
          <w:rFonts w:ascii="Arial" w:hAnsi="Arial" w:cs="Arial"/>
          <w:szCs w:val="24"/>
        </w:rPr>
      </w:pPr>
    </w:p>
    <w:p w14:paraId="0D01AA3E" w14:textId="6630F774" w:rsidR="00D66DBC" w:rsidRDefault="00D66DBC" w:rsidP="004C4B90">
      <w:pPr>
        <w:pStyle w:val="ReportPara"/>
        <w:numPr>
          <w:ilvl w:val="0"/>
          <w:numId w:val="0"/>
        </w:numPr>
        <w:spacing w:after="0"/>
        <w:ind w:left="720"/>
        <w:jc w:val="both"/>
        <w:rPr>
          <w:rFonts w:ascii="Arial" w:hAnsi="Arial" w:cs="Arial"/>
          <w:b/>
          <w:szCs w:val="24"/>
        </w:rPr>
      </w:pPr>
      <w:r w:rsidRPr="003048F2">
        <w:rPr>
          <w:rFonts w:ascii="Arial" w:hAnsi="Arial" w:cs="Arial"/>
          <w:b/>
          <w:szCs w:val="24"/>
        </w:rPr>
        <w:t xml:space="preserve">Joint </w:t>
      </w:r>
      <w:r w:rsidR="00C84B3F">
        <w:rPr>
          <w:rFonts w:ascii="Arial" w:hAnsi="Arial" w:cs="Arial"/>
          <w:b/>
          <w:szCs w:val="24"/>
        </w:rPr>
        <w:t>Statutory</w:t>
      </w:r>
      <w:r w:rsidR="00C84B3F" w:rsidRPr="003048F2">
        <w:rPr>
          <w:rFonts w:ascii="Arial" w:hAnsi="Arial" w:cs="Arial"/>
          <w:b/>
          <w:szCs w:val="24"/>
        </w:rPr>
        <w:t xml:space="preserve"> </w:t>
      </w:r>
      <w:r w:rsidRPr="003048F2">
        <w:rPr>
          <w:rFonts w:ascii="Arial" w:hAnsi="Arial" w:cs="Arial"/>
          <w:b/>
          <w:szCs w:val="24"/>
        </w:rPr>
        <w:t>Spatial Plan and Planning flexibilities</w:t>
      </w:r>
    </w:p>
    <w:p w14:paraId="13ECC95E" w14:textId="77777777" w:rsidR="003048F2" w:rsidRPr="003048F2" w:rsidRDefault="003048F2" w:rsidP="003048F2">
      <w:pPr>
        <w:pStyle w:val="ReportPara"/>
        <w:numPr>
          <w:ilvl w:val="0"/>
          <w:numId w:val="0"/>
        </w:numPr>
        <w:tabs>
          <w:tab w:val="num" w:pos="1080"/>
        </w:tabs>
        <w:spacing w:after="0"/>
        <w:ind w:left="426"/>
        <w:jc w:val="both"/>
        <w:rPr>
          <w:rFonts w:ascii="Arial" w:hAnsi="Arial" w:cs="Arial"/>
          <w:b/>
          <w:szCs w:val="24"/>
        </w:rPr>
      </w:pPr>
    </w:p>
    <w:p w14:paraId="7DF5E181" w14:textId="51212724" w:rsidR="00D66DBC" w:rsidRDefault="00D66DBC" w:rsidP="004C4B90">
      <w:pPr>
        <w:pStyle w:val="ReportPara"/>
        <w:numPr>
          <w:ilvl w:val="0"/>
          <w:numId w:val="45"/>
        </w:numPr>
        <w:spacing w:after="0"/>
        <w:jc w:val="both"/>
        <w:rPr>
          <w:rFonts w:ascii="Arial" w:hAnsi="Arial" w:cs="Arial"/>
          <w:szCs w:val="24"/>
        </w:rPr>
      </w:pPr>
      <w:r w:rsidRPr="003048F2">
        <w:rPr>
          <w:rFonts w:ascii="Arial" w:hAnsi="Arial" w:cs="Arial"/>
          <w:szCs w:val="24"/>
        </w:rPr>
        <w:t xml:space="preserve">A key commitment </w:t>
      </w:r>
      <w:r w:rsidR="00DD0B49" w:rsidRPr="003048F2">
        <w:rPr>
          <w:rFonts w:ascii="Arial" w:hAnsi="Arial" w:cs="Arial"/>
          <w:szCs w:val="24"/>
        </w:rPr>
        <w:t>for</w:t>
      </w:r>
      <w:r w:rsidRPr="003048F2">
        <w:rPr>
          <w:rFonts w:ascii="Arial" w:hAnsi="Arial" w:cs="Arial"/>
          <w:szCs w:val="24"/>
        </w:rPr>
        <w:t xml:space="preserve"> Oxfordshire </w:t>
      </w:r>
      <w:r w:rsidR="00961E08" w:rsidRPr="003048F2">
        <w:rPr>
          <w:rFonts w:ascii="Arial" w:hAnsi="Arial" w:cs="Arial"/>
          <w:szCs w:val="24"/>
        </w:rPr>
        <w:t>in</w:t>
      </w:r>
      <w:r w:rsidR="00605A2E">
        <w:rPr>
          <w:rFonts w:ascii="Arial" w:hAnsi="Arial" w:cs="Arial"/>
          <w:szCs w:val="24"/>
        </w:rPr>
        <w:t xml:space="preserve"> the D</w:t>
      </w:r>
      <w:r w:rsidRPr="003048F2">
        <w:rPr>
          <w:rFonts w:ascii="Arial" w:hAnsi="Arial" w:cs="Arial"/>
          <w:szCs w:val="24"/>
        </w:rPr>
        <w:t>eal is the development of an Oxfordshire Joint Statutory Spatial Plan (JSSP). Building on the existing Local Plans, the Oxfordshire Infrastructure Strategy and Oxfordshire Transport Strategy, the JSSP will set the strategic direction for planning to 2050.</w:t>
      </w:r>
      <w:r w:rsidR="008115E8" w:rsidRPr="008115E8">
        <w:t xml:space="preserve"> </w:t>
      </w:r>
      <w:r w:rsidR="008115E8" w:rsidRPr="008115E8">
        <w:rPr>
          <w:rFonts w:ascii="Arial" w:hAnsi="Arial" w:cs="Arial"/>
          <w:szCs w:val="24"/>
        </w:rPr>
        <w:t xml:space="preserve">The Deal will provide up to £2.5 million capacity funding to Oxfordshire Partners to support the development of the JSSP.  </w:t>
      </w:r>
    </w:p>
    <w:p w14:paraId="5CD90135" w14:textId="77777777" w:rsidR="003048F2" w:rsidRPr="003048F2" w:rsidRDefault="003048F2" w:rsidP="003048F2">
      <w:pPr>
        <w:pStyle w:val="ReportPara"/>
        <w:numPr>
          <w:ilvl w:val="0"/>
          <w:numId w:val="0"/>
        </w:numPr>
        <w:tabs>
          <w:tab w:val="num" w:pos="1134"/>
        </w:tabs>
        <w:spacing w:after="0"/>
        <w:ind w:left="1080"/>
        <w:jc w:val="both"/>
        <w:rPr>
          <w:rFonts w:ascii="Arial" w:hAnsi="Arial" w:cs="Arial"/>
          <w:szCs w:val="24"/>
        </w:rPr>
      </w:pPr>
    </w:p>
    <w:p w14:paraId="0C102519" w14:textId="673F608E" w:rsidR="00B31F4F" w:rsidRDefault="00B31F4F" w:rsidP="004C4B90">
      <w:pPr>
        <w:pStyle w:val="ReportPara"/>
        <w:numPr>
          <w:ilvl w:val="0"/>
          <w:numId w:val="45"/>
        </w:numPr>
        <w:spacing w:after="0"/>
        <w:jc w:val="both"/>
        <w:rPr>
          <w:rFonts w:ascii="Arial" w:hAnsi="Arial" w:cs="Arial"/>
          <w:szCs w:val="24"/>
        </w:rPr>
      </w:pPr>
      <w:r w:rsidRPr="003048F2">
        <w:rPr>
          <w:rFonts w:ascii="Arial" w:hAnsi="Arial" w:cs="Arial"/>
          <w:szCs w:val="24"/>
        </w:rPr>
        <w:t xml:space="preserve">The </w:t>
      </w:r>
      <w:r w:rsidR="00593B98">
        <w:rPr>
          <w:rFonts w:ascii="Arial" w:hAnsi="Arial" w:cs="Arial"/>
          <w:szCs w:val="24"/>
        </w:rPr>
        <w:t>G</w:t>
      </w:r>
      <w:r w:rsidR="008E60CD">
        <w:rPr>
          <w:rFonts w:ascii="Arial" w:hAnsi="Arial" w:cs="Arial"/>
          <w:szCs w:val="24"/>
        </w:rPr>
        <w:t xml:space="preserve">rowth </w:t>
      </w:r>
      <w:r w:rsidR="008115E8">
        <w:rPr>
          <w:rFonts w:ascii="Arial" w:hAnsi="Arial" w:cs="Arial"/>
          <w:szCs w:val="24"/>
        </w:rPr>
        <w:t>B</w:t>
      </w:r>
      <w:r w:rsidR="00CF2F5C">
        <w:rPr>
          <w:rFonts w:ascii="Arial" w:hAnsi="Arial" w:cs="Arial"/>
          <w:szCs w:val="24"/>
        </w:rPr>
        <w:t xml:space="preserve">oard will be aware that </w:t>
      </w:r>
      <w:r w:rsidRPr="003048F2">
        <w:rPr>
          <w:rFonts w:ascii="Arial" w:hAnsi="Arial" w:cs="Arial"/>
          <w:szCs w:val="24"/>
        </w:rPr>
        <w:t xml:space="preserve">Oxfordshire </w:t>
      </w:r>
      <w:r w:rsidR="009D0F46">
        <w:rPr>
          <w:rFonts w:ascii="Arial" w:hAnsi="Arial" w:cs="Arial"/>
          <w:szCs w:val="24"/>
        </w:rPr>
        <w:t>L</w:t>
      </w:r>
      <w:r w:rsidR="008115E8">
        <w:rPr>
          <w:rFonts w:ascii="Arial" w:hAnsi="Arial" w:cs="Arial"/>
          <w:szCs w:val="24"/>
        </w:rPr>
        <w:t xml:space="preserve">ocal </w:t>
      </w:r>
      <w:r w:rsidR="009D0F46">
        <w:rPr>
          <w:rFonts w:ascii="Arial" w:hAnsi="Arial" w:cs="Arial"/>
          <w:szCs w:val="24"/>
        </w:rPr>
        <w:t>P</w:t>
      </w:r>
      <w:r w:rsidR="008115E8">
        <w:rPr>
          <w:rFonts w:ascii="Arial" w:hAnsi="Arial" w:cs="Arial"/>
          <w:szCs w:val="24"/>
        </w:rPr>
        <w:t xml:space="preserve">lanning </w:t>
      </w:r>
      <w:r w:rsidR="009D0F46">
        <w:rPr>
          <w:rFonts w:ascii="Arial" w:hAnsi="Arial" w:cs="Arial"/>
          <w:szCs w:val="24"/>
        </w:rPr>
        <w:t>A</w:t>
      </w:r>
      <w:r w:rsidRPr="003048F2">
        <w:rPr>
          <w:rFonts w:ascii="Arial" w:hAnsi="Arial" w:cs="Arial"/>
          <w:szCs w:val="24"/>
        </w:rPr>
        <w:t>uthorities</w:t>
      </w:r>
      <w:r w:rsidR="008115E8">
        <w:rPr>
          <w:rFonts w:ascii="Arial" w:hAnsi="Arial" w:cs="Arial"/>
          <w:szCs w:val="24"/>
        </w:rPr>
        <w:t xml:space="preserve"> (LPAs) </w:t>
      </w:r>
      <w:r w:rsidRPr="003048F2">
        <w:rPr>
          <w:rFonts w:ascii="Arial" w:hAnsi="Arial" w:cs="Arial"/>
          <w:szCs w:val="24"/>
        </w:rPr>
        <w:t>have been considering the case for working together on a JSSP for a number of months</w:t>
      </w:r>
      <w:r w:rsidR="008115E8">
        <w:rPr>
          <w:rFonts w:ascii="Arial" w:hAnsi="Arial" w:cs="Arial"/>
          <w:szCs w:val="24"/>
        </w:rPr>
        <w:t xml:space="preserve"> and a</w:t>
      </w:r>
      <w:r w:rsidRPr="003048F2">
        <w:rPr>
          <w:rFonts w:ascii="Arial" w:hAnsi="Arial" w:cs="Arial"/>
          <w:szCs w:val="24"/>
        </w:rPr>
        <w:t xml:space="preserve"> business plan for production of the JSSP has been </w:t>
      </w:r>
      <w:r w:rsidR="008115E8">
        <w:rPr>
          <w:rFonts w:ascii="Arial" w:hAnsi="Arial" w:cs="Arial"/>
          <w:szCs w:val="24"/>
        </w:rPr>
        <w:t>end</w:t>
      </w:r>
      <w:r w:rsidRPr="003048F2">
        <w:rPr>
          <w:rFonts w:ascii="Arial" w:hAnsi="Arial" w:cs="Arial"/>
          <w:szCs w:val="24"/>
        </w:rPr>
        <w:t>orsed by the Growth Board</w:t>
      </w:r>
      <w:r w:rsidR="008115E8">
        <w:rPr>
          <w:rFonts w:ascii="Arial" w:hAnsi="Arial" w:cs="Arial"/>
          <w:szCs w:val="24"/>
        </w:rPr>
        <w:t xml:space="preserve"> and </w:t>
      </w:r>
      <w:r w:rsidR="008115E8" w:rsidRPr="003048F2">
        <w:rPr>
          <w:rFonts w:ascii="Arial" w:hAnsi="Arial" w:cs="Arial"/>
          <w:szCs w:val="24"/>
        </w:rPr>
        <w:t>recommended</w:t>
      </w:r>
      <w:r w:rsidRPr="003048F2">
        <w:rPr>
          <w:rFonts w:ascii="Arial" w:hAnsi="Arial" w:cs="Arial"/>
          <w:szCs w:val="24"/>
        </w:rPr>
        <w:t xml:space="preserve"> to </w:t>
      </w:r>
      <w:r w:rsidR="008115E8">
        <w:rPr>
          <w:rFonts w:ascii="Arial" w:hAnsi="Arial" w:cs="Arial"/>
          <w:szCs w:val="24"/>
        </w:rPr>
        <w:t>the Oxford</w:t>
      </w:r>
      <w:r w:rsidR="008115E8" w:rsidRPr="003048F2">
        <w:rPr>
          <w:rFonts w:ascii="Arial" w:hAnsi="Arial" w:cs="Arial"/>
          <w:szCs w:val="24"/>
        </w:rPr>
        <w:t>shire</w:t>
      </w:r>
      <w:r w:rsidRPr="003048F2">
        <w:rPr>
          <w:rFonts w:ascii="Arial" w:hAnsi="Arial" w:cs="Arial"/>
          <w:szCs w:val="24"/>
        </w:rPr>
        <w:t xml:space="preserve"> </w:t>
      </w:r>
      <w:r w:rsidR="008115E8">
        <w:rPr>
          <w:rFonts w:ascii="Arial" w:hAnsi="Arial" w:cs="Arial"/>
          <w:szCs w:val="24"/>
        </w:rPr>
        <w:t>LPAs</w:t>
      </w:r>
      <w:r w:rsidRPr="003048F2">
        <w:rPr>
          <w:rFonts w:ascii="Arial" w:hAnsi="Arial" w:cs="Arial"/>
          <w:szCs w:val="24"/>
        </w:rPr>
        <w:t>.</w:t>
      </w:r>
    </w:p>
    <w:p w14:paraId="626BF790" w14:textId="77777777" w:rsidR="003048F2" w:rsidRPr="003048F2" w:rsidRDefault="003048F2" w:rsidP="003048F2">
      <w:pPr>
        <w:pStyle w:val="ReportPara"/>
        <w:numPr>
          <w:ilvl w:val="0"/>
          <w:numId w:val="0"/>
        </w:numPr>
        <w:tabs>
          <w:tab w:val="num" w:pos="1134"/>
        </w:tabs>
        <w:spacing w:after="0"/>
        <w:ind w:left="1080"/>
        <w:jc w:val="both"/>
        <w:rPr>
          <w:rFonts w:ascii="Arial" w:hAnsi="Arial" w:cs="Arial"/>
          <w:szCs w:val="24"/>
        </w:rPr>
      </w:pPr>
    </w:p>
    <w:p w14:paraId="63053417" w14:textId="78FBB28B" w:rsidR="00162524" w:rsidRDefault="00E039E1" w:rsidP="004C4B90">
      <w:pPr>
        <w:pStyle w:val="ReportPara"/>
        <w:numPr>
          <w:ilvl w:val="0"/>
          <w:numId w:val="45"/>
        </w:numPr>
        <w:spacing w:after="0"/>
        <w:jc w:val="both"/>
        <w:rPr>
          <w:rFonts w:ascii="Arial" w:hAnsi="Arial" w:cs="Arial"/>
          <w:szCs w:val="24"/>
        </w:rPr>
      </w:pPr>
      <w:r w:rsidRPr="003048F2">
        <w:rPr>
          <w:rFonts w:ascii="Arial" w:hAnsi="Arial" w:cs="Arial"/>
          <w:szCs w:val="24"/>
        </w:rPr>
        <w:t xml:space="preserve">The approval of the </w:t>
      </w:r>
      <w:r w:rsidR="00B31F4F" w:rsidRPr="003048F2">
        <w:rPr>
          <w:rFonts w:ascii="Arial" w:hAnsi="Arial" w:cs="Arial"/>
          <w:szCs w:val="24"/>
        </w:rPr>
        <w:t>Deal</w:t>
      </w:r>
      <w:r w:rsidRPr="003048F2">
        <w:rPr>
          <w:rFonts w:ascii="Arial" w:hAnsi="Arial" w:cs="Arial"/>
          <w:szCs w:val="24"/>
        </w:rPr>
        <w:t xml:space="preserve"> </w:t>
      </w:r>
      <w:r w:rsidR="00491207" w:rsidRPr="003048F2">
        <w:rPr>
          <w:rFonts w:ascii="Arial" w:hAnsi="Arial" w:cs="Arial"/>
          <w:szCs w:val="24"/>
        </w:rPr>
        <w:t>provides</w:t>
      </w:r>
      <w:r w:rsidRPr="003048F2">
        <w:rPr>
          <w:rFonts w:ascii="Arial" w:hAnsi="Arial" w:cs="Arial"/>
          <w:szCs w:val="24"/>
        </w:rPr>
        <w:t xml:space="preserve"> </w:t>
      </w:r>
      <w:r w:rsidR="00DD0B49" w:rsidRPr="003048F2">
        <w:rPr>
          <w:rFonts w:ascii="Arial" w:hAnsi="Arial" w:cs="Arial"/>
          <w:szCs w:val="24"/>
        </w:rPr>
        <w:t xml:space="preserve">an </w:t>
      </w:r>
      <w:r w:rsidRPr="003048F2">
        <w:rPr>
          <w:rFonts w:ascii="Arial" w:hAnsi="Arial" w:cs="Arial"/>
          <w:szCs w:val="24"/>
        </w:rPr>
        <w:t xml:space="preserve">in principle agreement </w:t>
      </w:r>
      <w:r w:rsidR="009D0F46">
        <w:rPr>
          <w:rFonts w:ascii="Arial" w:hAnsi="Arial" w:cs="Arial"/>
          <w:szCs w:val="24"/>
        </w:rPr>
        <w:t xml:space="preserve">by Oxfordshire LPAs </w:t>
      </w:r>
      <w:r w:rsidRPr="003048F2">
        <w:rPr>
          <w:rFonts w:ascii="Arial" w:hAnsi="Arial" w:cs="Arial"/>
          <w:szCs w:val="24"/>
        </w:rPr>
        <w:t xml:space="preserve">to the preparation </w:t>
      </w:r>
      <w:r w:rsidR="006C21C6" w:rsidRPr="003048F2">
        <w:rPr>
          <w:rFonts w:ascii="Arial" w:hAnsi="Arial" w:cs="Arial"/>
          <w:szCs w:val="24"/>
        </w:rPr>
        <w:t>of a JSSP</w:t>
      </w:r>
      <w:r w:rsidR="00CC442E" w:rsidRPr="003048F2">
        <w:rPr>
          <w:rFonts w:ascii="Arial" w:hAnsi="Arial" w:cs="Arial"/>
          <w:szCs w:val="24"/>
        </w:rPr>
        <w:t xml:space="preserve">. </w:t>
      </w:r>
      <w:r w:rsidR="00491207" w:rsidRPr="003048F2">
        <w:rPr>
          <w:rFonts w:ascii="Arial" w:hAnsi="Arial" w:cs="Arial"/>
          <w:szCs w:val="24"/>
        </w:rPr>
        <w:t xml:space="preserve">The JSSP would be prepared under Section 28 of the Planning and Compulsory Purchase Act </w:t>
      </w:r>
      <w:r w:rsidR="00CC442E" w:rsidRPr="003048F2">
        <w:rPr>
          <w:rFonts w:ascii="Arial" w:hAnsi="Arial" w:cs="Arial"/>
          <w:szCs w:val="24"/>
        </w:rPr>
        <w:t>2004, which</w:t>
      </w:r>
      <w:r w:rsidR="00491207" w:rsidRPr="003048F2">
        <w:rPr>
          <w:rFonts w:ascii="Arial" w:hAnsi="Arial" w:cs="Arial"/>
          <w:szCs w:val="24"/>
        </w:rPr>
        <w:t xml:space="preserve"> enables </w:t>
      </w:r>
      <w:r w:rsidR="00CC442E" w:rsidRPr="003048F2">
        <w:rPr>
          <w:rFonts w:ascii="Arial" w:hAnsi="Arial" w:cs="Arial"/>
          <w:szCs w:val="24"/>
        </w:rPr>
        <w:t>two</w:t>
      </w:r>
      <w:r w:rsidR="00491207" w:rsidRPr="003048F2">
        <w:rPr>
          <w:rFonts w:ascii="Arial" w:hAnsi="Arial" w:cs="Arial"/>
          <w:szCs w:val="24"/>
        </w:rPr>
        <w:t xml:space="preserve"> or more </w:t>
      </w:r>
      <w:r w:rsidR="008E60CD">
        <w:rPr>
          <w:rFonts w:ascii="Arial" w:hAnsi="Arial" w:cs="Arial"/>
          <w:szCs w:val="24"/>
        </w:rPr>
        <w:t>LPAs to agree to prepare a J</w:t>
      </w:r>
      <w:r w:rsidR="009D0F46">
        <w:rPr>
          <w:rFonts w:ascii="Arial" w:hAnsi="Arial" w:cs="Arial"/>
          <w:szCs w:val="24"/>
        </w:rPr>
        <w:t xml:space="preserve">oint </w:t>
      </w:r>
      <w:r w:rsidR="00491207" w:rsidRPr="003048F2">
        <w:rPr>
          <w:rFonts w:ascii="Arial" w:hAnsi="Arial" w:cs="Arial"/>
          <w:szCs w:val="24"/>
        </w:rPr>
        <w:t>Plan</w:t>
      </w:r>
      <w:r w:rsidR="00CC442E" w:rsidRPr="003048F2">
        <w:rPr>
          <w:rFonts w:ascii="Arial" w:hAnsi="Arial" w:cs="Arial"/>
          <w:szCs w:val="24"/>
        </w:rPr>
        <w:t xml:space="preserve">. </w:t>
      </w:r>
      <w:r w:rsidR="00491207" w:rsidRPr="003048F2">
        <w:rPr>
          <w:rFonts w:ascii="Arial" w:hAnsi="Arial" w:cs="Arial"/>
          <w:szCs w:val="24"/>
        </w:rPr>
        <w:t xml:space="preserve">However, formal decision making to commence, submit, and adopt the JSSP would remain with the </w:t>
      </w:r>
      <w:r w:rsidR="009D0F46">
        <w:rPr>
          <w:rFonts w:ascii="Arial" w:hAnsi="Arial" w:cs="Arial"/>
          <w:szCs w:val="24"/>
        </w:rPr>
        <w:t xml:space="preserve">LPAs </w:t>
      </w:r>
      <w:r w:rsidR="00491207" w:rsidRPr="003048F2">
        <w:rPr>
          <w:rFonts w:ascii="Arial" w:hAnsi="Arial" w:cs="Arial"/>
          <w:szCs w:val="24"/>
        </w:rPr>
        <w:t>individually</w:t>
      </w:r>
      <w:r w:rsidR="009D0F46">
        <w:rPr>
          <w:rFonts w:ascii="Arial" w:hAnsi="Arial" w:cs="Arial"/>
          <w:szCs w:val="24"/>
        </w:rPr>
        <w:t>.</w:t>
      </w:r>
    </w:p>
    <w:p w14:paraId="59AC3BF5" w14:textId="77777777" w:rsidR="003048F2" w:rsidRPr="003048F2" w:rsidRDefault="003048F2" w:rsidP="003048F2">
      <w:pPr>
        <w:pStyle w:val="ReportPara"/>
        <w:numPr>
          <w:ilvl w:val="0"/>
          <w:numId w:val="0"/>
        </w:numPr>
        <w:tabs>
          <w:tab w:val="num" w:pos="1134"/>
        </w:tabs>
        <w:spacing w:after="0"/>
        <w:ind w:left="1080"/>
        <w:jc w:val="both"/>
        <w:rPr>
          <w:rFonts w:ascii="Arial" w:hAnsi="Arial" w:cs="Arial"/>
          <w:szCs w:val="24"/>
        </w:rPr>
      </w:pPr>
    </w:p>
    <w:p w14:paraId="33346C6A" w14:textId="05680AF2" w:rsidR="00D66DBC" w:rsidRDefault="008115E8" w:rsidP="004C4B90">
      <w:pPr>
        <w:pStyle w:val="ReportPara"/>
        <w:numPr>
          <w:ilvl w:val="0"/>
          <w:numId w:val="45"/>
        </w:numPr>
        <w:spacing w:after="0"/>
        <w:jc w:val="both"/>
        <w:rPr>
          <w:rFonts w:ascii="Arial" w:hAnsi="Arial" w:cs="Arial"/>
          <w:szCs w:val="24"/>
        </w:rPr>
      </w:pPr>
      <w:r>
        <w:rPr>
          <w:rFonts w:ascii="Arial" w:hAnsi="Arial" w:cs="Arial"/>
          <w:szCs w:val="24"/>
        </w:rPr>
        <w:t>The k</w:t>
      </w:r>
      <w:r w:rsidR="00D66DBC" w:rsidRPr="003048F2">
        <w:rPr>
          <w:rFonts w:ascii="Arial" w:hAnsi="Arial" w:cs="Arial"/>
          <w:szCs w:val="24"/>
        </w:rPr>
        <w:t xml:space="preserve">ey objectives of the JSSP are to provide a countywide strategic vision for sustainable growth, </w:t>
      </w:r>
      <w:r w:rsidR="00593B98">
        <w:rPr>
          <w:rFonts w:ascii="Arial" w:hAnsi="Arial" w:cs="Arial"/>
          <w:szCs w:val="24"/>
        </w:rPr>
        <w:t xml:space="preserve">to </w:t>
      </w:r>
      <w:r w:rsidR="00D66DBC" w:rsidRPr="003048F2">
        <w:rPr>
          <w:rFonts w:ascii="Arial" w:hAnsi="Arial" w:cs="Arial"/>
          <w:szCs w:val="24"/>
        </w:rPr>
        <w:t xml:space="preserve">give the public a clear overview of the countywide growth picture and greater opportunities to engage in collective decision-making, and to avoid incremental, </w:t>
      </w:r>
      <w:r w:rsidR="00CC442E" w:rsidRPr="003048F2">
        <w:rPr>
          <w:rFonts w:ascii="Arial" w:hAnsi="Arial" w:cs="Arial"/>
          <w:szCs w:val="24"/>
        </w:rPr>
        <w:t>speculative,</w:t>
      </w:r>
      <w:r w:rsidR="00D66DBC" w:rsidRPr="003048F2">
        <w:rPr>
          <w:rFonts w:ascii="Arial" w:hAnsi="Arial" w:cs="Arial"/>
          <w:szCs w:val="24"/>
        </w:rPr>
        <w:t xml:space="preserve"> and unplanned development.</w:t>
      </w:r>
    </w:p>
    <w:p w14:paraId="7D2FDA86" w14:textId="77777777" w:rsidR="003048F2" w:rsidRPr="003048F2" w:rsidRDefault="003048F2" w:rsidP="003048F2">
      <w:pPr>
        <w:pStyle w:val="ReportPara"/>
        <w:numPr>
          <w:ilvl w:val="0"/>
          <w:numId w:val="0"/>
        </w:numPr>
        <w:tabs>
          <w:tab w:val="num" w:pos="1134"/>
        </w:tabs>
        <w:spacing w:after="0"/>
        <w:jc w:val="both"/>
        <w:rPr>
          <w:rFonts w:ascii="Arial" w:hAnsi="Arial" w:cs="Arial"/>
          <w:szCs w:val="24"/>
        </w:rPr>
      </w:pPr>
    </w:p>
    <w:p w14:paraId="2986285F" w14:textId="3F6A5542" w:rsidR="009D0F46" w:rsidRDefault="00C31827" w:rsidP="004C4B90">
      <w:pPr>
        <w:pStyle w:val="ReportPara"/>
        <w:numPr>
          <w:ilvl w:val="0"/>
          <w:numId w:val="45"/>
        </w:numPr>
        <w:spacing w:after="0"/>
        <w:jc w:val="both"/>
        <w:rPr>
          <w:rFonts w:ascii="Arial" w:hAnsi="Arial" w:cs="Arial"/>
          <w:szCs w:val="24"/>
        </w:rPr>
      </w:pPr>
      <w:r>
        <w:rPr>
          <w:rFonts w:ascii="Arial" w:hAnsi="Arial" w:cs="Arial"/>
          <w:szCs w:val="24"/>
        </w:rPr>
        <w:t>In</w:t>
      </w:r>
      <w:r w:rsidR="008341F6">
        <w:rPr>
          <w:rFonts w:ascii="Arial" w:hAnsi="Arial" w:cs="Arial"/>
          <w:szCs w:val="24"/>
        </w:rPr>
        <w:t xml:space="preserve"> addition G</w:t>
      </w:r>
      <w:r w:rsidR="00D66DBC" w:rsidRPr="00356D22">
        <w:rPr>
          <w:rFonts w:ascii="Arial" w:hAnsi="Arial" w:cs="Arial"/>
          <w:szCs w:val="24"/>
        </w:rPr>
        <w:t xml:space="preserve">overnment </w:t>
      </w:r>
      <w:r w:rsidR="00D26888">
        <w:rPr>
          <w:rFonts w:ascii="Arial" w:hAnsi="Arial" w:cs="Arial"/>
          <w:szCs w:val="24"/>
        </w:rPr>
        <w:t xml:space="preserve">have recognised the challenges Oxfordshire faces from unplanned development and has agreed to </w:t>
      </w:r>
      <w:r w:rsidR="00D66DBC" w:rsidRPr="00F207E3">
        <w:rPr>
          <w:rFonts w:ascii="Arial" w:hAnsi="Arial" w:cs="Arial"/>
          <w:szCs w:val="24"/>
        </w:rPr>
        <w:t xml:space="preserve"> grant planning flexibilities on a time limited basis to </w:t>
      </w:r>
      <w:r w:rsidR="00D26888">
        <w:rPr>
          <w:rFonts w:ascii="Arial" w:hAnsi="Arial" w:cs="Arial"/>
          <w:szCs w:val="24"/>
        </w:rPr>
        <w:t xml:space="preserve">provide some protection from the risk of unplanned development  </w:t>
      </w:r>
      <w:r w:rsidR="00D66DBC" w:rsidRPr="003D32FA">
        <w:rPr>
          <w:rFonts w:ascii="Arial" w:hAnsi="Arial" w:cs="Arial"/>
          <w:szCs w:val="24"/>
        </w:rPr>
        <w:t xml:space="preserve">during </w:t>
      </w:r>
      <w:r w:rsidR="00C50F87" w:rsidRPr="003D32FA">
        <w:rPr>
          <w:rFonts w:ascii="Arial" w:hAnsi="Arial" w:cs="Arial"/>
          <w:szCs w:val="24"/>
        </w:rPr>
        <w:t xml:space="preserve">the </w:t>
      </w:r>
      <w:r w:rsidR="00D26888">
        <w:rPr>
          <w:rFonts w:ascii="Arial" w:hAnsi="Arial" w:cs="Arial"/>
          <w:szCs w:val="24"/>
        </w:rPr>
        <w:t>period of preparation of the JSSP</w:t>
      </w:r>
      <w:r w:rsidR="00E069D4">
        <w:rPr>
          <w:rFonts w:ascii="Arial" w:hAnsi="Arial" w:cs="Arial"/>
          <w:szCs w:val="24"/>
        </w:rPr>
        <w:t xml:space="preserve"> and three years its following adoption.</w:t>
      </w:r>
    </w:p>
    <w:p w14:paraId="76241F19" w14:textId="77777777" w:rsidR="009D0F46" w:rsidRDefault="009D0F46" w:rsidP="008341F6">
      <w:pPr>
        <w:pStyle w:val="ReportPara"/>
        <w:numPr>
          <w:ilvl w:val="0"/>
          <w:numId w:val="0"/>
        </w:numPr>
        <w:tabs>
          <w:tab w:val="num" w:pos="426"/>
        </w:tabs>
        <w:spacing w:after="0"/>
        <w:ind w:left="426"/>
        <w:jc w:val="both"/>
        <w:rPr>
          <w:rFonts w:ascii="Arial" w:hAnsi="Arial" w:cs="Arial"/>
          <w:szCs w:val="24"/>
        </w:rPr>
      </w:pPr>
    </w:p>
    <w:p w14:paraId="17C4EBED" w14:textId="77777777" w:rsidR="005B06A6" w:rsidRDefault="005B06A6" w:rsidP="005B06A6">
      <w:pPr>
        <w:pStyle w:val="ReportPara"/>
        <w:numPr>
          <w:ilvl w:val="0"/>
          <w:numId w:val="0"/>
        </w:numPr>
        <w:spacing w:after="0"/>
        <w:ind w:left="720"/>
        <w:jc w:val="both"/>
        <w:rPr>
          <w:rFonts w:ascii="Arial" w:hAnsi="Arial" w:cs="Arial"/>
          <w:szCs w:val="24"/>
        </w:rPr>
      </w:pPr>
    </w:p>
    <w:p w14:paraId="789B9B5E" w14:textId="77777777" w:rsidR="005B06A6" w:rsidRDefault="005B06A6" w:rsidP="005B06A6">
      <w:pPr>
        <w:pStyle w:val="ListParagraph"/>
        <w:rPr>
          <w:rFonts w:ascii="Arial" w:hAnsi="Arial" w:cs="Arial"/>
          <w:szCs w:val="24"/>
        </w:rPr>
      </w:pPr>
    </w:p>
    <w:p w14:paraId="287CCFAE" w14:textId="1AAFB65F" w:rsidR="004C4B90" w:rsidRPr="00A91BD5" w:rsidRDefault="00356D22" w:rsidP="004C4B90">
      <w:pPr>
        <w:pStyle w:val="ReportPara"/>
        <w:numPr>
          <w:ilvl w:val="0"/>
          <w:numId w:val="45"/>
        </w:numPr>
        <w:spacing w:after="0"/>
        <w:jc w:val="both"/>
        <w:rPr>
          <w:rFonts w:ascii="Arial" w:hAnsi="Arial" w:cs="Arial"/>
          <w:szCs w:val="24"/>
        </w:rPr>
      </w:pPr>
      <w:r w:rsidRPr="00A91BD5">
        <w:rPr>
          <w:rFonts w:ascii="Arial" w:hAnsi="Arial" w:cs="Arial"/>
          <w:szCs w:val="24"/>
        </w:rPr>
        <w:t>The Deal</w:t>
      </w:r>
      <w:r w:rsidR="00D66DBC" w:rsidRPr="00A91BD5">
        <w:rPr>
          <w:rFonts w:ascii="Arial" w:hAnsi="Arial" w:cs="Arial"/>
          <w:szCs w:val="24"/>
        </w:rPr>
        <w:t xml:space="preserve"> also commits government to working with Oxfordshire from early 2018 on longer-term solutions to make sure sites </w:t>
      </w:r>
      <w:r w:rsidR="009D0F46" w:rsidRPr="00A91BD5">
        <w:rPr>
          <w:rFonts w:ascii="Arial" w:hAnsi="Arial" w:cs="Arial"/>
          <w:szCs w:val="24"/>
        </w:rPr>
        <w:t xml:space="preserve">with planning permission </w:t>
      </w:r>
      <w:r w:rsidR="00D66DBC" w:rsidRPr="00A91BD5">
        <w:rPr>
          <w:rFonts w:ascii="Arial" w:hAnsi="Arial" w:cs="Arial"/>
          <w:szCs w:val="24"/>
        </w:rPr>
        <w:t>are built out</w:t>
      </w:r>
      <w:r w:rsidR="009D0F46" w:rsidRPr="00A91BD5">
        <w:rPr>
          <w:rFonts w:ascii="Arial" w:hAnsi="Arial" w:cs="Arial"/>
          <w:szCs w:val="24"/>
        </w:rPr>
        <w:t xml:space="preserve"> in a </w:t>
      </w:r>
    </w:p>
    <w:p w14:paraId="2FDF337A" w14:textId="07176B52" w:rsidR="00D66DBC" w:rsidRPr="00356D22" w:rsidRDefault="009D0F46" w:rsidP="004C4B90">
      <w:pPr>
        <w:pStyle w:val="ReportPara"/>
        <w:numPr>
          <w:ilvl w:val="0"/>
          <w:numId w:val="0"/>
        </w:numPr>
        <w:spacing w:after="0"/>
        <w:ind w:left="720"/>
        <w:jc w:val="both"/>
        <w:rPr>
          <w:rFonts w:ascii="Arial" w:hAnsi="Arial" w:cs="Arial"/>
          <w:szCs w:val="24"/>
        </w:rPr>
      </w:pPr>
      <w:proofErr w:type="gramStart"/>
      <w:r>
        <w:rPr>
          <w:rFonts w:ascii="Arial" w:hAnsi="Arial" w:cs="Arial"/>
          <w:szCs w:val="24"/>
        </w:rPr>
        <w:lastRenderedPageBreak/>
        <w:t>timely</w:t>
      </w:r>
      <w:proofErr w:type="gramEnd"/>
      <w:r>
        <w:rPr>
          <w:rFonts w:ascii="Arial" w:hAnsi="Arial" w:cs="Arial"/>
          <w:szCs w:val="24"/>
        </w:rPr>
        <w:t xml:space="preserve"> manner</w:t>
      </w:r>
      <w:r w:rsidR="00D66DBC" w:rsidRPr="00356D22">
        <w:rPr>
          <w:rFonts w:ascii="Arial" w:hAnsi="Arial" w:cs="Arial"/>
          <w:szCs w:val="24"/>
        </w:rPr>
        <w:t xml:space="preserve">. This places us in a good position to influence </w:t>
      </w:r>
      <w:r w:rsidR="008341F6">
        <w:rPr>
          <w:rFonts w:ascii="Arial" w:hAnsi="Arial" w:cs="Arial"/>
          <w:szCs w:val="24"/>
        </w:rPr>
        <w:t>for example,</w:t>
      </w:r>
      <w:r>
        <w:rPr>
          <w:rFonts w:ascii="Arial" w:hAnsi="Arial" w:cs="Arial"/>
          <w:szCs w:val="24"/>
        </w:rPr>
        <w:t xml:space="preserve"> </w:t>
      </w:r>
      <w:r w:rsidR="00D66DBC" w:rsidRPr="00356D22">
        <w:rPr>
          <w:rFonts w:ascii="Arial" w:hAnsi="Arial" w:cs="Arial"/>
          <w:szCs w:val="24"/>
        </w:rPr>
        <w:t xml:space="preserve">the national </w:t>
      </w:r>
      <w:r w:rsidR="00CC442E" w:rsidRPr="00356D22">
        <w:rPr>
          <w:rFonts w:ascii="Arial" w:hAnsi="Arial" w:cs="Arial"/>
          <w:szCs w:val="24"/>
        </w:rPr>
        <w:t>review by</w:t>
      </w:r>
      <w:r w:rsidR="00D66DBC" w:rsidRPr="00356D22">
        <w:rPr>
          <w:rFonts w:ascii="Arial" w:hAnsi="Arial" w:cs="Arial"/>
          <w:szCs w:val="24"/>
        </w:rPr>
        <w:t xml:space="preserve"> Government into the mismatch between planning permissions granted and housing starts</w:t>
      </w:r>
      <w:r w:rsidR="00C50F87" w:rsidRPr="00356D22">
        <w:rPr>
          <w:rFonts w:ascii="Arial" w:hAnsi="Arial" w:cs="Arial"/>
          <w:szCs w:val="24"/>
        </w:rPr>
        <w:t>.</w:t>
      </w:r>
    </w:p>
    <w:p w14:paraId="20C69F45" w14:textId="77777777" w:rsidR="003048F2" w:rsidRPr="003048F2" w:rsidRDefault="003048F2" w:rsidP="003048F2">
      <w:pPr>
        <w:pStyle w:val="ReportPara"/>
        <w:numPr>
          <w:ilvl w:val="0"/>
          <w:numId w:val="0"/>
        </w:numPr>
        <w:tabs>
          <w:tab w:val="num" w:pos="1134"/>
        </w:tabs>
        <w:spacing w:after="0"/>
        <w:ind w:left="1080"/>
        <w:jc w:val="both"/>
        <w:rPr>
          <w:rFonts w:ascii="Arial" w:hAnsi="Arial" w:cs="Arial"/>
          <w:szCs w:val="24"/>
        </w:rPr>
      </w:pPr>
    </w:p>
    <w:p w14:paraId="17394598" w14:textId="77777777" w:rsidR="00D66DBC" w:rsidRDefault="00D66DBC" w:rsidP="004C4B90">
      <w:pPr>
        <w:pStyle w:val="ReportPara"/>
        <w:numPr>
          <w:ilvl w:val="0"/>
          <w:numId w:val="0"/>
        </w:numPr>
        <w:spacing w:after="0"/>
        <w:ind w:left="720"/>
        <w:jc w:val="both"/>
        <w:rPr>
          <w:rFonts w:ascii="Arial" w:hAnsi="Arial" w:cs="Arial"/>
          <w:b/>
          <w:szCs w:val="24"/>
        </w:rPr>
      </w:pPr>
      <w:r w:rsidRPr="003048F2">
        <w:rPr>
          <w:rFonts w:ascii="Arial" w:hAnsi="Arial" w:cs="Arial"/>
          <w:b/>
          <w:szCs w:val="24"/>
        </w:rPr>
        <w:t xml:space="preserve">Productivity </w:t>
      </w:r>
    </w:p>
    <w:p w14:paraId="0B2F94EA" w14:textId="77777777" w:rsidR="003048F2" w:rsidRPr="003048F2" w:rsidRDefault="003048F2" w:rsidP="003048F2">
      <w:pPr>
        <w:pStyle w:val="ReportPara"/>
        <w:numPr>
          <w:ilvl w:val="0"/>
          <w:numId w:val="0"/>
        </w:numPr>
        <w:spacing w:after="0"/>
        <w:ind w:left="426"/>
        <w:jc w:val="both"/>
        <w:rPr>
          <w:rFonts w:ascii="Arial" w:hAnsi="Arial" w:cs="Arial"/>
          <w:b/>
          <w:szCs w:val="24"/>
        </w:rPr>
      </w:pPr>
    </w:p>
    <w:p w14:paraId="3B708D6E" w14:textId="4F828408" w:rsidR="00D66DBC" w:rsidRPr="008341F6" w:rsidRDefault="00D66DBC" w:rsidP="004C4B90">
      <w:pPr>
        <w:pStyle w:val="ReportPara"/>
        <w:numPr>
          <w:ilvl w:val="0"/>
          <w:numId w:val="45"/>
        </w:numPr>
        <w:rPr>
          <w:rFonts w:ascii="Arial" w:hAnsi="Arial" w:cs="Arial"/>
        </w:rPr>
      </w:pPr>
      <w:r w:rsidRPr="008341F6">
        <w:rPr>
          <w:rFonts w:ascii="Arial" w:hAnsi="Arial" w:cs="Arial"/>
        </w:rPr>
        <w:t xml:space="preserve">The </w:t>
      </w:r>
      <w:r w:rsidR="00212088">
        <w:rPr>
          <w:rFonts w:ascii="Arial" w:hAnsi="Arial" w:cs="Arial"/>
        </w:rPr>
        <w:t xml:space="preserve">inclusion of the </w:t>
      </w:r>
      <w:r w:rsidR="00593B98">
        <w:rPr>
          <w:rFonts w:ascii="Arial" w:hAnsi="Arial" w:cs="Arial"/>
        </w:rPr>
        <w:t>P</w:t>
      </w:r>
      <w:r w:rsidR="00212088">
        <w:rPr>
          <w:rFonts w:ascii="Arial" w:hAnsi="Arial" w:cs="Arial"/>
        </w:rPr>
        <w:t xml:space="preserve">roductivity strand within the </w:t>
      </w:r>
      <w:r w:rsidR="00070217">
        <w:rPr>
          <w:rFonts w:ascii="Arial" w:hAnsi="Arial" w:cs="Arial"/>
        </w:rPr>
        <w:t>Deal demonstrates</w:t>
      </w:r>
      <w:r w:rsidR="00212088">
        <w:rPr>
          <w:rFonts w:ascii="Arial" w:hAnsi="Arial" w:cs="Arial"/>
        </w:rPr>
        <w:t xml:space="preserve"> that </w:t>
      </w:r>
      <w:r w:rsidRPr="008341F6">
        <w:rPr>
          <w:rFonts w:ascii="Arial" w:hAnsi="Arial" w:cs="Arial"/>
        </w:rPr>
        <w:t>Government recognises the importance of Oxfordshire’s knowledge intensive economy for UK plc</w:t>
      </w:r>
      <w:r w:rsidR="00E50AC7">
        <w:rPr>
          <w:rFonts w:ascii="Arial" w:hAnsi="Arial" w:cs="Arial"/>
        </w:rPr>
        <w:t xml:space="preserve">, which </w:t>
      </w:r>
      <w:r w:rsidR="00070217">
        <w:rPr>
          <w:rFonts w:ascii="Arial" w:hAnsi="Arial" w:cs="Arial"/>
        </w:rPr>
        <w:t>currently delivers</w:t>
      </w:r>
      <w:r w:rsidRPr="008341F6">
        <w:rPr>
          <w:rFonts w:ascii="Arial" w:hAnsi="Arial" w:cs="Arial"/>
        </w:rPr>
        <w:t xml:space="preserve"> £21 billion a year to </w:t>
      </w:r>
      <w:r w:rsidR="0073719F" w:rsidRPr="008341F6">
        <w:rPr>
          <w:rFonts w:ascii="Arial" w:hAnsi="Arial" w:cs="Arial"/>
        </w:rPr>
        <w:t>the nation’s economic</w:t>
      </w:r>
      <w:r w:rsidRPr="008341F6">
        <w:rPr>
          <w:rFonts w:ascii="Arial" w:hAnsi="Arial" w:cs="Arial"/>
        </w:rPr>
        <w:t xml:space="preserve"> output. </w:t>
      </w:r>
    </w:p>
    <w:p w14:paraId="67EE862E" w14:textId="77777777" w:rsidR="003048F2" w:rsidRPr="008341F6" w:rsidRDefault="003048F2" w:rsidP="003048F2">
      <w:pPr>
        <w:pStyle w:val="ReportPara"/>
        <w:numPr>
          <w:ilvl w:val="0"/>
          <w:numId w:val="0"/>
        </w:numPr>
        <w:spacing w:after="0"/>
        <w:ind w:left="1142"/>
        <w:jc w:val="both"/>
        <w:rPr>
          <w:rFonts w:ascii="Arial" w:hAnsi="Arial" w:cs="Arial"/>
          <w:szCs w:val="24"/>
        </w:rPr>
      </w:pPr>
    </w:p>
    <w:p w14:paraId="449E8F04" w14:textId="5F44BB05" w:rsidR="00D66DBC" w:rsidRDefault="00D66DBC" w:rsidP="004C4B90">
      <w:pPr>
        <w:pStyle w:val="ReportPara"/>
        <w:numPr>
          <w:ilvl w:val="0"/>
          <w:numId w:val="45"/>
        </w:numPr>
        <w:spacing w:after="0"/>
        <w:jc w:val="both"/>
        <w:rPr>
          <w:rFonts w:ascii="Arial" w:hAnsi="Arial" w:cs="Arial"/>
          <w:szCs w:val="24"/>
        </w:rPr>
      </w:pPr>
      <w:r w:rsidRPr="008341F6">
        <w:rPr>
          <w:rFonts w:ascii="Arial" w:hAnsi="Arial" w:cs="Arial"/>
          <w:szCs w:val="24"/>
        </w:rPr>
        <w:t xml:space="preserve">The Deal commits Government support to expand employment sites across the county, such as Science Vale – one of the most successful science and technology clusters in the UK. In </w:t>
      </w:r>
      <w:r w:rsidR="00CC442E" w:rsidRPr="008341F6">
        <w:rPr>
          <w:rFonts w:ascii="Arial" w:hAnsi="Arial" w:cs="Arial"/>
          <w:szCs w:val="24"/>
        </w:rPr>
        <w:t>total,</w:t>
      </w:r>
      <w:r w:rsidRPr="008341F6">
        <w:rPr>
          <w:rFonts w:ascii="Arial" w:hAnsi="Arial" w:cs="Arial"/>
          <w:szCs w:val="24"/>
        </w:rPr>
        <w:t xml:space="preserve"> the Government is putting an additional £2.3bn in R&amp;D investment. It will also bring new resources to address specific skills gaps</w:t>
      </w:r>
      <w:r w:rsidRPr="003048F2">
        <w:rPr>
          <w:rFonts w:ascii="Arial" w:hAnsi="Arial" w:cs="Arial"/>
          <w:szCs w:val="24"/>
        </w:rPr>
        <w:t>.</w:t>
      </w:r>
    </w:p>
    <w:p w14:paraId="11E17368" w14:textId="77777777" w:rsidR="003048F2" w:rsidRPr="003048F2" w:rsidRDefault="003048F2" w:rsidP="003048F2">
      <w:pPr>
        <w:pStyle w:val="ReportPara"/>
        <w:numPr>
          <w:ilvl w:val="0"/>
          <w:numId w:val="0"/>
        </w:numPr>
        <w:tabs>
          <w:tab w:val="num" w:pos="1134"/>
        </w:tabs>
        <w:spacing w:after="0"/>
        <w:ind w:left="1080"/>
        <w:jc w:val="both"/>
        <w:rPr>
          <w:rFonts w:ascii="Arial" w:hAnsi="Arial" w:cs="Arial"/>
          <w:szCs w:val="24"/>
        </w:rPr>
      </w:pPr>
    </w:p>
    <w:p w14:paraId="1115264A" w14:textId="3A4C4EC3" w:rsidR="00D66DBC" w:rsidRDefault="00D66DBC" w:rsidP="004C4B90">
      <w:pPr>
        <w:pStyle w:val="ReportPara"/>
        <w:numPr>
          <w:ilvl w:val="0"/>
          <w:numId w:val="45"/>
        </w:numPr>
        <w:spacing w:after="0"/>
        <w:jc w:val="both"/>
        <w:rPr>
          <w:rFonts w:ascii="Arial" w:hAnsi="Arial" w:cs="Arial"/>
          <w:szCs w:val="24"/>
        </w:rPr>
      </w:pPr>
      <w:r w:rsidRPr="003048F2">
        <w:rPr>
          <w:rFonts w:ascii="Arial" w:hAnsi="Arial" w:cs="Arial"/>
          <w:szCs w:val="24"/>
        </w:rPr>
        <w:t xml:space="preserve">Government has also promised opportunities </w:t>
      </w:r>
      <w:r w:rsidR="00F207E3">
        <w:rPr>
          <w:rFonts w:ascii="Arial" w:hAnsi="Arial" w:cs="Arial"/>
          <w:szCs w:val="24"/>
        </w:rPr>
        <w:t xml:space="preserve">for Oxfordshire </w:t>
      </w:r>
      <w:r w:rsidRPr="003048F2">
        <w:rPr>
          <w:rFonts w:ascii="Arial" w:hAnsi="Arial" w:cs="Arial"/>
          <w:szCs w:val="24"/>
        </w:rPr>
        <w:t>to</w:t>
      </w:r>
      <w:r w:rsidR="00F207E3">
        <w:rPr>
          <w:rFonts w:ascii="Arial" w:hAnsi="Arial" w:cs="Arial"/>
          <w:szCs w:val="24"/>
        </w:rPr>
        <w:t xml:space="preserve"> be involved in</w:t>
      </w:r>
      <w:r w:rsidRPr="003048F2">
        <w:rPr>
          <w:rFonts w:ascii="Arial" w:hAnsi="Arial" w:cs="Arial"/>
          <w:szCs w:val="24"/>
        </w:rPr>
        <w:t xml:space="preserve"> develop</w:t>
      </w:r>
      <w:r w:rsidR="00F207E3">
        <w:rPr>
          <w:rFonts w:ascii="Arial" w:hAnsi="Arial" w:cs="Arial"/>
          <w:szCs w:val="24"/>
        </w:rPr>
        <w:t>ing</w:t>
      </w:r>
      <w:r w:rsidRPr="003048F2">
        <w:rPr>
          <w:rFonts w:ascii="Arial" w:hAnsi="Arial" w:cs="Arial"/>
          <w:szCs w:val="24"/>
        </w:rPr>
        <w:t xml:space="preserve"> sector deals with life sciences and artificial intelligence sectors</w:t>
      </w:r>
      <w:r w:rsidR="00F207E3">
        <w:rPr>
          <w:rFonts w:ascii="Arial" w:hAnsi="Arial" w:cs="Arial"/>
          <w:szCs w:val="24"/>
        </w:rPr>
        <w:t xml:space="preserve">, </w:t>
      </w:r>
      <w:r w:rsidR="00E50AC7">
        <w:rPr>
          <w:rFonts w:ascii="Arial" w:hAnsi="Arial" w:cs="Arial"/>
          <w:szCs w:val="24"/>
        </w:rPr>
        <w:t xml:space="preserve">reflecting </w:t>
      </w:r>
      <w:r w:rsidR="00E50AC7" w:rsidRPr="003048F2">
        <w:rPr>
          <w:rFonts w:ascii="Arial" w:hAnsi="Arial" w:cs="Arial"/>
          <w:szCs w:val="24"/>
        </w:rPr>
        <w:t>Oxfordshire’s</w:t>
      </w:r>
      <w:r w:rsidRPr="003048F2">
        <w:rPr>
          <w:rFonts w:ascii="Arial" w:hAnsi="Arial" w:cs="Arial"/>
          <w:szCs w:val="24"/>
        </w:rPr>
        <w:t xml:space="preserve"> leading edge research and development</w:t>
      </w:r>
      <w:r w:rsidR="00F207E3">
        <w:rPr>
          <w:rFonts w:ascii="Arial" w:hAnsi="Arial" w:cs="Arial"/>
          <w:szCs w:val="24"/>
        </w:rPr>
        <w:t xml:space="preserve"> in these sectors</w:t>
      </w:r>
      <w:r w:rsidRPr="003048F2">
        <w:rPr>
          <w:rFonts w:ascii="Arial" w:hAnsi="Arial" w:cs="Arial"/>
          <w:szCs w:val="24"/>
        </w:rPr>
        <w:t>. This is additional to the recent £6.9m investment in driverless vehicle testing divided between Culham and Mil</w:t>
      </w:r>
      <w:r w:rsidR="001E2843">
        <w:rPr>
          <w:rFonts w:ascii="Arial" w:hAnsi="Arial" w:cs="Arial"/>
          <w:szCs w:val="24"/>
        </w:rPr>
        <w:t>l</w:t>
      </w:r>
      <w:r w:rsidRPr="003048F2">
        <w:rPr>
          <w:rFonts w:ascii="Arial" w:hAnsi="Arial" w:cs="Arial"/>
          <w:szCs w:val="24"/>
        </w:rPr>
        <w:t xml:space="preserve">brook in Bedfordshire. </w:t>
      </w:r>
    </w:p>
    <w:p w14:paraId="736A9FA0" w14:textId="77777777" w:rsidR="003048F2" w:rsidRPr="003048F2" w:rsidRDefault="003048F2" w:rsidP="003048F2">
      <w:pPr>
        <w:pStyle w:val="ReportPara"/>
        <w:numPr>
          <w:ilvl w:val="0"/>
          <w:numId w:val="0"/>
        </w:numPr>
        <w:tabs>
          <w:tab w:val="num" w:pos="1134"/>
        </w:tabs>
        <w:spacing w:after="0"/>
        <w:jc w:val="both"/>
        <w:rPr>
          <w:rFonts w:ascii="Arial" w:hAnsi="Arial" w:cs="Arial"/>
          <w:szCs w:val="24"/>
        </w:rPr>
      </w:pPr>
    </w:p>
    <w:p w14:paraId="5C7AA68C" w14:textId="77777777" w:rsidR="00D66DBC" w:rsidRDefault="00D66DBC" w:rsidP="004C4B90">
      <w:pPr>
        <w:pStyle w:val="ReportPara"/>
        <w:numPr>
          <w:ilvl w:val="0"/>
          <w:numId w:val="45"/>
        </w:numPr>
        <w:spacing w:after="0"/>
        <w:jc w:val="both"/>
        <w:rPr>
          <w:rFonts w:ascii="Arial" w:hAnsi="Arial" w:cs="Arial"/>
          <w:szCs w:val="24"/>
        </w:rPr>
      </w:pPr>
      <w:r w:rsidRPr="003048F2">
        <w:rPr>
          <w:rFonts w:ascii="Arial" w:hAnsi="Arial" w:cs="Arial"/>
          <w:szCs w:val="24"/>
        </w:rPr>
        <w:t>Finally, the Deal has extended core funding for the Oxfordshire Growth Hub up to 2022. This provides support to help scale up high-growth companies.</w:t>
      </w:r>
    </w:p>
    <w:p w14:paraId="34AEBEC5" w14:textId="77777777" w:rsidR="00DA164F" w:rsidRDefault="00DA164F" w:rsidP="00DA164F">
      <w:pPr>
        <w:pStyle w:val="ReportPara"/>
        <w:numPr>
          <w:ilvl w:val="0"/>
          <w:numId w:val="0"/>
        </w:numPr>
        <w:spacing w:after="0"/>
        <w:jc w:val="both"/>
        <w:rPr>
          <w:rFonts w:ascii="Arial" w:hAnsi="Arial" w:cs="Arial"/>
          <w:szCs w:val="24"/>
        </w:rPr>
      </w:pPr>
    </w:p>
    <w:p w14:paraId="5D7BF5AF" w14:textId="36586A9A" w:rsidR="000379EA" w:rsidRDefault="00E50AC7" w:rsidP="004C4B90">
      <w:pPr>
        <w:pStyle w:val="ReportPara"/>
        <w:numPr>
          <w:ilvl w:val="0"/>
          <w:numId w:val="0"/>
        </w:numPr>
        <w:spacing w:after="0"/>
        <w:jc w:val="both"/>
        <w:rPr>
          <w:rFonts w:ascii="Arial" w:hAnsi="Arial" w:cs="Arial"/>
          <w:b/>
          <w:szCs w:val="24"/>
        </w:rPr>
      </w:pPr>
      <w:r>
        <w:rPr>
          <w:rFonts w:ascii="Arial" w:hAnsi="Arial" w:cs="Arial"/>
          <w:b/>
          <w:szCs w:val="24"/>
        </w:rPr>
        <w:t>D</w:t>
      </w:r>
      <w:r w:rsidR="00DA164F">
        <w:rPr>
          <w:rFonts w:ascii="Arial" w:hAnsi="Arial" w:cs="Arial"/>
          <w:b/>
          <w:szCs w:val="24"/>
        </w:rPr>
        <w:t>EAL GOVERNANCE</w:t>
      </w:r>
    </w:p>
    <w:p w14:paraId="778D2412" w14:textId="77777777" w:rsidR="003048F2" w:rsidRPr="003048F2" w:rsidRDefault="003048F2" w:rsidP="003048F2">
      <w:pPr>
        <w:pStyle w:val="ReportPara"/>
        <w:numPr>
          <w:ilvl w:val="0"/>
          <w:numId w:val="0"/>
        </w:numPr>
        <w:spacing w:after="0"/>
        <w:ind w:left="450"/>
        <w:jc w:val="both"/>
        <w:rPr>
          <w:rFonts w:ascii="Arial" w:hAnsi="Arial" w:cs="Arial"/>
          <w:b/>
          <w:szCs w:val="24"/>
        </w:rPr>
      </w:pPr>
    </w:p>
    <w:p w14:paraId="7CADBD26" w14:textId="78D7E404" w:rsidR="00D66DBC" w:rsidRDefault="000379EA" w:rsidP="004C4B90">
      <w:pPr>
        <w:pStyle w:val="ReportPara"/>
        <w:numPr>
          <w:ilvl w:val="0"/>
          <w:numId w:val="45"/>
        </w:numPr>
        <w:spacing w:after="0"/>
        <w:jc w:val="both"/>
        <w:rPr>
          <w:rFonts w:ascii="Arial" w:hAnsi="Arial" w:cs="Arial"/>
          <w:szCs w:val="24"/>
        </w:rPr>
      </w:pPr>
      <w:r w:rsidRPr="003048F2">
        <w:rPr>
          <w:rFonts w:ascii="Arial" w:hAnsi="Arial" w:cs="Arial"/>
          <w:szCs w:val="24"/>
        </w:rPr>
        <w:t xml:space="preserve">Once agreed by the </w:t>
      </w:r>
      <w:r w:rsidR="00593B98">
        <w:rPr>
          <w:rFonts w:ascii="Arial" w:hAnsi="Arial" w:cs="Arial"/>
          <w:szCs w:val="24"/>
        </w:rPr>
        <w:t>Oxfordshire Partners</w:t>
      </w:r>
      <w:r w:rsidRPr="003048F2">
        <w:rPr>
          <w:rFonts w:ascii="Arial" w:hAnsi="Arial" w:cs="Arial"/>
          <w:szCs w:val="24"/>
        </w:rPr>
        <w:t xml:space="preserve">, </w:t>
      </w:r>
      <w:r w:rsidR="00CC442E">
        <w:rPr>
          <w:rFonts w:ascii="Arial" w:hAnsi="Arial" w:cs="Arial"/>
          <w:szCs w:val="24"/>
        </w:rPr>
        <w:t xml:space="preserve">oversight of the </w:t>
      </w:r>
      <w:r w:rsidRPr="003048F2">
        <w:rPr>
          <w:rFonts w:ascii="Arial" w:hAnsi="Arial" w:cs="Arial"/>
          <w:szCs w:val="24"/>
        </w:rPr>
        <w:t>delivery of the D</w:t>
      </w:r>
      <w:r w:rsidR="00D66DBC" w:rsidRPr="003048F2">
        <w:rPr>
          <w:rFonts w:ascii="Arial" w:hAnsi="Arial" w:cs="Arial"/>
          <w:szCs w:val="24"/>
        </w:rPr>
        <w:t xml:space="preserve">eal will </w:t>
      </w:r>
      <w:r w:rsidR="00CC442E" w:rsidRPr="003048F2">
        <w:rPr>
          <w:rFonts w:ascii="Arial" w:hAnsi="Arial" w:cs="Arial"/>
          <w:szCs w:val="24"/>
        </w:rPr>
        <w:t>be by</w:t>
      </w:r>
      <w:r w:rsidR="00D66DBC" w:rsidRPr="003048F2">
        <w:rPr>
          <w:rFonts w:ascii="Arial" w:hAnsi="Arial" w:cs="Arial"/>
          <w:szCs w:val="24"/>
        </w:rPr>
        <w:t xml:space="preserve"> the Growth Board</w:t>
      </w:r>
      <w:r w:rsidR="00593B98">
        <w:rPr>
          <w:rFonts w:ascii="Arial" w:hAnsi="Arial" w:cs="Arial"/>
          <w:szCs w:val="24"/>
        </w:rPr>
        <w:t>.</w:t>
      </w:r>
    </w:p>
    <w:p w14:paraId="303E4953" w14:textId="77777777" w:rsidR="003048F2" w:rsidRPr="003048F2" w:rsidRDefault="003048F2" w:rsidP="003048F2">
      <w:pPr>
        <w:pStyle w:val="ReportPara"/>
        <w:numPr>
          <w:ilvl w:val="0"/>
          <w:numId w:val="0"/>
        </w:numPr>
        <w:tabs>
          <w:tab w:val="num" w:pos="1134"/>
        </w:tabs>
        <w:spacing w:after="0"/>
        <w:ind w:left="1080"/>
        <w:jc w:val="both"/>
        <w:rPr>
          <w:rFonts w:ascii="Arial" w:hAnsi="Arial" w:cs="Arial"/>
          <w:szCs w:val="24"/>
        </w:rPr>
      </w:pPr>
    </w:p>
    <w:p w14:paraId="0791BD1F" w14:textId="62FB9DD2" w:rsidR="000379EA" w:rsidRDefault="000379EA" w:rsidP="00A91BD5">
      <w:pPr>
        <w:pStyle w:val="ListParagraph"/>
        <w:keepNext/>
        <w:keepLines/>
        <w:numPr>
          <w:ilvl w:val="0"/>
          <w:numId w:val="45"/>
        </w:numPr>
        <w:contextualSpacing/>
        <w:jc w:val="both"/>
        <w:rPr>
          <w:rFonts w:ascii="Arial" w:eastAsiaTheme="minorHAnsi" w:hAnsi="Arial" w:cs="Arial"/>
          <w:szCs w:val="24"/>
          <w:lang w:eastAsia="en-US"/>
        </w:rPr>
      </w:pPr>
      <w:r w:rsidRPr="00A91BD5">
        <w:rPr>
          <w:rFonts w:ascii="Arial" w:hAnsi="Arial" w:cs="Arial"/>
          <w:color w:val="000000" w:themeColor="text1"/>
          <w:szCs w:val="24"/>
        </w:rPr>
        <w:t>The Growth Board will</w:t>
      </w:r>
      <w:r w:rsidR="00525148" w:rsidRPr="00A91BD5">
        <w:rPr>
          <w:rFonts w:ascii="Arial" w:hAnsi="Arial" w:cs="Arial"/>
          <w:color w:val="000000" w:themeColor="text1"/>
          <w:szCs w:val="24"/>
        </w:rPr>
        <w:t xml:space="preserve"> be responsible </w:t>
      </w:r>
      <w:r w:rsidR="00CA09F0" w:rsidRPr="00A91BD5">
        <w:rPr>
          <w:rFonts w:ascii="Arial" w:hAnsi="Arial" w:cs="Arial"/>
          <w:color w:val="000000" w:themeColor="text1"/>
          <w:szCs w:val="24"/>
        </w:rPr>
        <w:t>for agreeing delivery</w:t>
      </w:r>
      <w:r w:rsidR="00A81CC7" w:rsidRPr="00A91BD5">
        <w:rPr>
          <w:rFonts w:ascii="Arial" w:hAnsi="Arial" w:cs="Arial"/>
          <w:color w:val="000000" w:themeColor="text1"/>
          <w:szCs w:val="24"/>
        </w:rPr>
        <w:t xml:space="preserve"> programmes</w:t>
      </w:r>
      <w:r w:rsidR="00525148" w:rsidRPr="00A91BD5">
        <w:rPr>
          <w:rFonts w:ascii="Arial" w:hAnsi="Arial" w:cs="Arial"/>
          <w:color w:val="000000" w:themeColor="text1"/>
          <w:szCs w:val="24"/>
        </w:rPr>
        <w:t xml:space="preserve"> fo</w:t>
      </w:r>
      <w:r w:rsidR="00212088" w:rsidRPr="00A91BD5">
        <w:rPr>
          <w:rFonts w:ascii="Arial" w:hAnsi="Arial" w:cs="Arial"/>
          <w:color w:val="000000" w:themeColor="text1"/>
          <w:szCs w:val="24"/>
        </w:rPr>
        <w:t>r</w:t>
      </w:r>
      <w:r w:rsidR="00525148" w:rsidRPr="00A91BD5">
        <w:rPr>
          <w:rFonts w:ascii="Arial" w:hAnsi="Arial" w:cs="Arial"/>
          <w:color w:val="000000" w:themeColor="text1"/>
          <w:szCs w:val="24"/>
        </w:rPr>
        <w:t xml:space="preserve"> each of the three Deal </w:t>
      </w:r>
      <w:r w:rsidR="00CA09F0" w:rsidRPr="00A91BD5">
        <w:rPr>
          <w:rFonts w:ascii="Arial" w:hAnsi="Arial" w:cs="Arial"/>
          <w:color w:val="000000" w:themeColor="text1"/>
          <w:szCs w:val="24"/>
        </w:rPr>
        <w:t>strands and</w:t>
      </w:r>
      <w:r w:rsidRPr="00A91BD5">
        <w:rPr>
          <w:rFonts w:ascii="Arial" w:hAnsi="Arial" w:cs="Arial"/>
          <w:color w:val="000000" w:themeColor="text1"/>
          <w:szCs w:val="24"/>
        </w:rPr>
        <w:t xml:space="preserve"> make all decisions on the prioritisation and allocation of the funding secured through the Deal</w:t>
      </w:r>
      <w:r w:rsidR="00CC442E" w:rsidRPr="00A91BD5">
        <w:rPr>
          <w:rFonts w:ascii="Arial" w:hAnsi="Arial" w:cs="Arial"/>
          <w:color w:val="000000" w:themeColor="text1"/>
          <w:szCs w:val="24"/>
        </w:rPr>
        <w:t xml:space="preserve">. </w:t>
      </w:r>
      <w:r w:rsidR="00A81CC7" w:rsidRPr="00A91BD5">
        <w:rPr>
          <w:rFonts w:ascii="Arial" w:hAnsi="Arial" w:cs="Arial"/>
          <w:color w:val="000000" w:themeColor="text1"/>
          <w:szCs w:val="24"/>
        </w:rPr>
        <w:t xml:space="preserve">Progress on </w:t>
      </w:r>
      <w:r w:rsidR="00A81CC7" w:rsidRPr="00A91BD5">
        <w:rPr>
          <w:rFonts w:ascii="Arial" w:eastAsiaTheme="minorHAnsi" w:hAnsi="Arial" w:cs="Arial"/>
          <w:szCs w:val="24"/>
          <w:lang w:eastAsia="en-US"/>
        </w:rPr>
        <w:t>delivery of the work programmes will be monitored and reported to the Growth Board on a quarterly basis.</w:t>
      </w:r>
    </w:p>
    <w:p w14:paraId="33CA1BDB" w14:textId="77777777" w:rsidR="00A91BD5" w:rsidRPr="00A91BD5" w:rsidRDefault="00A91BD5" w:rsidP="003048F2">
      <w:pPr>
        <w:pStyle w:val="ListParagraph"/>
        <w:keepNext/>
        <w:keepLines/>
        <w:numPr>
          <w:ilvl w:val="2"/>
          <w:numId w:val="0"/>
        </w:numPr>
        <w:ind w:left="1170" w:hanging="720"/>
        <w:contextualSpacing/>
        <w:jc w:val="both"/>
        <w:rPr>
          <w:rFonts w:ascii="Arial" w:hAnsi="Arial" w:cs="Arial"/>
          <w:color w:val="000000" w:themeColor="text1"/>
          <w:szCs w:val="24"/>
        </w:rPr>
      </w:pPr>
    </w:p>
    <w:p w14:paraId="0F8D52D2" w14:textId="46E4AC7A" w:rsidR="00A73D12" w:rsidRDefault="00525148" w:rsidP="004C4B90">
      <w:pPr>
        <w:pStyle w:val="Heading3"/>
        <w:keepNext/>
        <w:keepLines/>
        <w:numPr>
          <w:ilvl w:val="0"/>
          <w:numId w:val="45"/>
        </w:numPr>
        <w:spacing w:after="0"/>
        <w:jc w:val="both"/>
        <w:rPr>
          <w:rFonts w:ascii="Arial" w:hAnsi="Arial" w:cs="Arial"/>
          <w:b w:val="0"/>
          <w:color w:val="000000" w:themeColor="text1"/>
          <w:szCs w:val="24"/>
        </w:rPr>
      </w:pPr>
      <w:r>
        <w:rPr>
          <w:rFonts w:ascii="Arial" w:hAnsi="Arial" w:cs="Arial"/>
          <w:b w:val="0"/>
          <w:color w:val="000000" w:themeColor="text1"/>
          <w:szCs w:val="24"/>
        </w:rPr>
        <w:t xml:space="preserve">Below the </w:t>
      </w:r>
      <w:r w:rsidR="008E60CD">
        <w:rPr>
          <w:rFonts w:ascii="Arial" w:hAnsi="Arial" w:cs="Arial"/>
          <w:b w:val="0"/>
          <w:color w:val="000000" w:themeColor="text1"/>
          <w:szCs w:val="24"/>
        </w:rPr>
        <w:t xml:space="preserve">Growth </w:t>
      </w:r>
      <w:r>
        <w:rPr>
          <w:rFonts w:ascii="Arial" w:hAnsi="Arial" w:cs="Arial"/>
          <w:b w:val="0"/>
          <w:color w:val="000000" w:themeColor="text1"/>
          <w:szCs w:val="24"/>
        </w:rPr>
        <w:t>Board</w:t>
      </w:r>
      <w:r w:rsidR="00CA09F0">
        <w:rPr>
          <w:rFonts w:ascii="Arial" w:hAnsi="Arial" w:cs="Arial"/>
          <w:b w:val="0"/>
          <w:color w:val="000000" w:themeColor="text1"/>
          <w:szCs w:val="24"/>
        </w:rPr>
        <w:t>,</w:t>
      </w:r>
      <w:r>
        <w:rPr>
          <w:rFonts w:ascii="Arial" w:hAnsi="Arial" w:cs="Arial"/>
          <w:b w:val="0"/>
          <w:color w:val="000000" w:themeColor="text1"/>
          <w:szCs w:val="24"/>
        </w:rPr>
        <w:t xml:space="preserve"> </w:t>
      </w:r>
      <w:r w:rsidR="00593B98">
        <w:rPr>
          <w:rFonts w:ascii="Arial" w:hAnsi="Arial" w:cs="Arial"/>
          <w:b w:val="0"/>
          <w:color w:val="000000" w:themeColor="text1"/>
          <w:szCs w:val="24"/>
        </w:rPr>
        <w:t>partners will e</w:t>
      </w:r>
      <w:r w:rsidR="00CC442E">
        <w:rPr>
          <w:rFonts w:ascii="Arial" w:hAnsi="Arial" w:cs="Arial"/>
          <w:b w:val="0"/>
          <w:color w:val="000000" w:themeColor="text1"/>
          <w:szCs w:val="24"/>
        </w:rPr>
        <w:t>stablish</w:t>
      </w:r>
      <w:r w:rsidR="00593B98">
        <w:rPr>
          <w:rFonts w:ascii="Arial" w:hAnsi="Arial" w:cs="Arial"/>
          <w:b w:val="0"/>
          <w:color w:val="000000" w:themeColor="text1"/>
          <w:szCs w:val="24"/>
        </w:rPr>
        <w:t xml:space="preserve"> an officer structure</w:t>
      </w:r>
      <w:r w:rsidR="00CC442E">
        <w:rPr>
          <w:rFonts w:ascii="Arial" w:hAnsi="Arial" w:cs="Arial"/>
          <w:b w:val="0"/>
          <w:color w:val="000000" w:themeColor="text1"/>
          <w:szCs w:val="24"/>
        </w:rPr>
        <w:t xml:space="preserve"> </w:t>
      </w:r>
      <w:r>
        <w:rPr>
          <w:rFonts w:ascii="Arial" w:hAnsi="Arial" w:cs="Arial"/>
          <w:b w:val="0"/>
          <w:color w:val="000000" w:themeColor="text1"/>
          <w:szCs w:val="24"/>
        </w:rPr>
        <w:t>to deliver the Deal</w:t>
      </w:r>
      <w:r w:rsidR="00CA09F0">
        <w:rPr>
          <w:rFonts w:ascii="Arial" w:hAnsi="Arial" w:cs="Arial"/>
          <w:b w:val="0"/>
          <w:color w:val="000000" w:themeColor="text1"/>
          <w:szCs w:val="24"/>
        </w:rPr>
        <w:t xml:space="preserve">, </w:t>
      </w:r>
      <w:r w:rsidR="00CC442E" w:rsidRPr="00CC442E">
        <w:rPr>
          <w:rFonts w:ascii="Arial" w:hAnsi="Arial" w:cs="Arial"/>
          <w:b w:val="0"/>
          <w:color w:val="000000" w:themeColor="text1"/>
          <w:szCs w:val="24"/>
        </w:rPr>
        <w:t>using the capacity funding provided</w:t>
      </w:r>
      <w:r w:rsidR="00CC442E">
        <w:rPr>
          <w:rFonts w:ascii="Arial" w:hAnsi="Arial" w:cs="Arial"/>
          <w:b w:val="0"/>
          <w:color w:val="000000" w:themeColor="text1"/>
          <w:szCs w:val="24"/>
        </w:rPr>
        <w:t xml:space="preserve">. The structure will </w:t>
      </w:r>
      <w:r w:rsidR="00CA09F0">
        <w:rPr>
          <w:rFonts w:ascii="Arial" w:hAnsi="Arial" w:cs="Arial"/>
          <w:b w:val="0"/>
          <w:color w:val="000000" w:themeColor="text1"/>
          <w:szCs w:val="24"/>
        </w:rPr>
        <w:t>report</w:t>
      </w:r>
      <w:r w:rsidR="00CC442E">
        <w:rPr>
          <w:rFonts w:ascii="Arial" w:hAnsi="Arial" w:cs="Arial"/>
          <w:b w:val="0"/>
          <w:color w:val="000000" w:themeColor="text1"/>
          <w:szCs w:val="24"/>
        </w:rPr>
        <w:t xml:space="preserve"> to the </w:t>
      </w:r>
      <w:r w:rsidR="008E60CD">
        <w:rPr>
          <w:rFonts w:ascii="Arial" w:hAnsi="Arial" w:cs="Arial"/>
          <w:b w:val="0"/>
          <w:color w:val="000000" w:themeColor="text1"/>
          <w:szCs w:val="24"/>
        </w:rPr>
        <w:t xml:space="preserve">Growth </w:t>
      </w:r>
      <w:r w:rsidR="00CC442E">
        <w:rPr>
          <w:rFonts w:ascii="Arial" w:hAnsi="Arial" w:cs="Arial"/>
          <w:b w:val="0"/>
          <w:color w:val="000000" w:themeColor="text1"/>
          <w:szCs w:val="24"/>
        </w:rPr>
        <w:t>Board through</w:t>
      </w:r>
      <w:r w:rsidR="00CA09F0">
        <w:rPr>
          <w:rFonts w:ascii="Arial" w:hAnsi="Arial" w:cs="Arial"/>
          <w:b w:val="0"/>
          <w:color w:val="000000" w:themeColor="text1"/>
          <w:szCs w:val="24"/>
        </w:rPr>
        <w:t xml:space="preserve"> the Growth Board Executive Officer Group (EOG) </w:t>
      </w:r>
      <w:r w:rsidR="008E60CD">
        <w:rPr>
          <w:rFonts w:ascii="Arial" w:hAnsi="Arial" w:cs="Arial"/>
          <w:b w:val="0"/>
          <w:color w:val="000000" w:themeColor="text1"/>
          <w:szCs w:val="24"/>
        </w:rPr>
        <w:t>and Chief E</w:t>
      </w:r>
      <w:r w:rsidR="00CA09F0">
        <w:rPr>
          <w:rFonts w:ascii="Arial" w:hAnsi="Arial" w:cs="Arial"/>
          <w:b w:val="0"/>
          <w:color w:val="000000" w:themeColor="text1"/>
          <w:szCs w:val="24"/>
        </w:rPr>
        <w:t xml:space="preserve">xecutives </w:t>
      </w:r>
      <w:r w:rsidR="00CC442E">
        <w:rPr>
          <w:rFonts w:ascii="Arial" w:hAnsi="Arial" w:cs="Arial"/>
          <w:b w:val="0"/>
          <w:color w:val="000000" w:themeColor="text1"/>
          <w:szCs w:val="24"/>
        </w:rPr>
        <w:t xml:space="preserve">Group. </w:t>
      </w:r>
      <w:r>
        <w:rPr>
          <w:rFonts w:ascii="Arial" w:hAnsi="Arial" w:cs="Arial"/>
          <w:b w:val="0"/>
          <w:color w:val="000000" w:themeColor="text1"/>
          <w:szCs w:val="24"/>
        </w:rPr>
        <w:t>This structure will drive the delivery of the Deal</w:t>
      </w:r>
      <w:r w:rsidR="00212088">
        <w:rPr>
          <w:rFonts w:ascii="Arial" w:hAnsi="Arial" w:cs="Arial"/>
          <w:b w:val="0"/>
          <w:color w:val="000000" w:themeColor="text1"/>
          <w:szCs w:val="24"/>
        </w:rPr>
        <w:t>,</w:t>
      </w:r>
      <w:r>
        <w:rPr>
          <w:rFonts w:ascii="Arial" w:hAnsi="Arial" w:cs="Arial"/>
          <w:b w:val="0"/>
          <w:color w:val="000000" w:themeColor="text1"/>
          <w:szCs w:val="24"/>
        </w:rPr>
        <w:t xml:space="preserve"> </w:t>
      </w:r>
      <w:r w:rsidR="000379EA" w:rsidRPr="003048F2">
        <w:rPr>
          <w:rFonts w:ascii="Arial" w:hAnsi="Arial" w:cs="Arial"/>
          <w:b w:val="0"/>
          <w:color w:val="000000" w:themeColor="text1"/>
          <w:szCs w:val="24"/>
        </w:rPr>
        <w:t xml:space="preserve">report on programmes </w:t>
      </w:r>
      <w:r w:rsidR="00CC442E">
        <w:rPr>
          <w:rFonts w:ascii="Arial" w:hAnsi="Arial" w:cs="Arial"/>
          <w:b w:val="0"/>
          <w:color w:val="000000" w:themeColor="text1"/>
          <w:szCs w:val="24"/>
        </w:rPr>
        <w:t>progress,</w:t>
      </w:r>
      <w:r w:rsidR="00CA09F0">
        <w:rPr>
          <w:rFonts w:ascii="Arial" w:hAnsi="Arial" w:cs="Arial"/>
          <w:b w:val="0"/>
          <w:color w:val="000000" w:themeColor="text1"/>
          <w:szCs w:val="24"/>
        </w:rPr>
        <w:t xml:space="preserve"> and </w:t>
      </w:r>
      <w:r w:rsidR="00CA09F0" w:rsidRPr="00CA09F0">
        <w:rPr>
          <w:rFonts w:ascii="Arial" w:hAnsi="Arial" w:cs="Arial"/>
          <w:b w:val="0"/>
          <w:color w:val="000000" w:themeColor="text1"/>
          <w:szCs w:val="24"/>
        </w:rPr>
        <w:t>make recommendations to the Growth Board on funding decisions</w:t>
      </w:r>
      <w:r w:rsidR="00CA09F0">
        <w:rPr>
          <w:rFonts w:ascii="Arial" w:hAnsi="Arial" w:cs="Arial"/>
          <w:b w:val="0"/>
          <w:color w:val="000000" w:themeColor="text1"/>
          <w:szCs w:val="24"/>
        </w:rPr>
        <w:t>.</w:t>
      </w:r>
    </w:p>
    <w:p w14:paraId="4150DACC" w14:textId="77777777" w:rsidR="00A73D12" w:rsidRDefault="00A73D12" w:rsidP="00CA09F0">
      <w:pPr>
        <w:pStyle w:val="Heading3"/>
        <w:keepNext/>
        <w:keepLines/>
        <w:spacing w:after="0"/>
        <w:ind w:left="426"/>
        <w:jc w:val="both"/>
        <w:rPr>
          <w:rFonts w:ascii="Arial" w:hAnsi="Arial" w:cs="Arial"/>
          <w:b w:val="0"/>
          <w:color w:val="000000" w:themeColor="text1"/>
          <w:szCs w:val="24"/>
        </w:rPr>
      </w:pPr>
    </w:p>
    <w:p w14:paraId="7D110CAC" w14:textId="1DDDC346" w:rsidR="000379EA" w:rsidRPr="003048F2" w:rsidRDefault="008E60CD" w:rsidP="004C4B90">
      <w:pPr>
        <w:pStyle w:val="Heading3"/>
        <w:keepNext/>
        <w:keepLines/>
        <w:numPr>
          <w:ilvl w:val="0"/>
          <w:numId w:val="45"/>
        </w:numPr>
        <w:spacing w:after="0"/>
        <w:jc w:val="both"/>
        <w:rPr>
          <w:rFonts w:ascii="Arial" w:hAnsi="Arial" w:cs="Arial"/>
          <w:b w:val="0"/>
          <w:color w:val="000000" w:themeColor="text1"/>
          <w:szCs w:val="24"/>
        </w:rPr>
      </w:pPr>
      <w:r>
        <w:rPr>
          <w:rFonts w:ascii="Arial" w:hAnsi="Arial" w:cs="Arial"/>
          <w:b w:val="0"/>
          <w:color w:val="000000" w:themeColor="text1"/>
          <w:szCs w:val="24"/>
        </w:rPr>
        <w:t xml:space="preserve">The Delivery Plan </w:t>
      </w:r>
      <w:r w:rsidR="00E069D4">
        <w:rPr>
          <w:rFonts w:ascii="Arial" w:hAnsi="Arial" w:cs="Arial"/>
          <w:b w:val="0"/>
          <w:color w:val="000000" w:themeColor="text1"/>
          <w:szCs w:val="24"/>
        </w:rPr>
        <w:t xml:space="preserve">will </w:t>
      </w:r>
      <w:r>
        <w:rPr>
          <w:rFonts w:ascii="Arial" w:hAnsi="Arial" w:cs="Arial"/>
          <w:b w:val="0"/>
          <w:color w:val="000000" w:themeColor="text1"/>
          <w:szCs w:val="24"/>
        </w:rPr>
        <w:t>include an A</w:t>
      </w:r>
      <w:r w:rsidR="00A73D12" w:rsidRPr="00A73D12">
        <w:rPr>
          <w:rFonts w:ascii="Arial" w:hAnsi="Arial" w:cs="Arial"/>
          <w:b w:val="0"/>
          <w:color w:val="000000" w:themeColor="text1"/>
          <w:szCs w:val="24"/>
        </w:rPr>
        <w:t xml:space="preserve">ssurance </w:t>
      </w:r>
      <w:r>
        <w:rPr>
          <w:rFonts w:ascii="Arial" w:hAnsi="Arial" w:cs="Arial"/>
          <w:b w:val="0"/>
          <w:color w:val="000000" w:themeColor="text1"/>
          <w:szCs w:val="24"/>
        </w:rPr>
        <w:t>F</w:t>
      </w:r>
      <w:r w:rsidR="00A73D12" w:rsidRPr="00A73D12">
        <w:rPr>
          <w:rFonts w:ascii="Arial" w:hAnsi="Arial" w:cs="Arial"/>
          <w:b w:val="0"/>
          <w:color w:val="000000" w:themeColor="text1"/>
          <w:szCs w:val="24"/>
        </w:rPr>
        <w:t xml:space="preserve">ramework that will be the mechanism and process for ensuring the oversight and reporting of performance against </w:t>
      </w:r>
      <w:r w:rsidR="00A73D12">
        <w:rPr>
          <w:rFonts w:ascii="Arial" w:hAnsi="Arial" w:cs="Arial"/>
          <w:b w:val="0"/>
          <w:color w:val="000000" w:themeColor="text1"/>
          <w:szCs w:val="24"/>
        </w:rPr>
        <w:t>agreed targets</w:t>
      </w:r>
      <w:r w:rsidR="00A73D12" w:rsidRPr="00A73D12">
        <w:rPr>
          <w:rFonts w:ascii="Arial" w:hAnsi="Arial" w:cs="Arial"/>
          <w:b w:val="0"/>
          <w:color w:val="000000" w:themeColor="text1"/>
          <w:szCs w:val="24"/>
        </w:rPr>
        <w:t xml:space="preserve">. A strategic programme and project management approach </w:t>
      </w:r>
      <w:proofErr w:type="gramStart"/>
      <w:r w:rsidR="00A73D12" w:rsidRPr="00A73D12">
        <w:rPr>
          <w:rFonts w:ascii="Arial" w:hAnsi="Arial" w:cs="Arial"/>
          <w:b w:val="0"/>
          <w:color w:val="000000" w:themeColor="text1"/>
          <w:szCs w:val="24"/>
        </w:rPr>
        <w:t>will be used</w:t>
      </w:r>
      <w:proofErr w:type="gramEnd"/>
      <w:r w:rsidR="00A73D12" w:rsidRPr="00A73D12">
        <w:rPr>
          <w:rFonts w:ascii="Arial" w:hAnsi="Arial" w:cs="Arial"/>
          <w:b w:val="0"/>
          <w:color w:val="000000" w:themeColor="text1"/>
          <w:szCs w:val="24"/>
        </w:rPr>
        <w:t xml:space="preserve"> to manage the overall </w:t>
      </w:r>
      <w:r w:rsidR="00A73D12">
        <w:rPr>
          <w:rFonts w:ascii="Arial" w:hAnsi="Arial" w:cs="Arial"/>
          <w:b w:val="0"/>
          <w:color w:val="000000" w:themeColor="text1"/>
          <w:szCs w:val="24"/>
        </w:rPr>
        <w:t>P</w:t>
      </w:r>
      <w:r w:rsidR="00A73D12" w:rsidRPr="00A73D12">
        <w:rPr>
          <w:rFonts w:ascii="Arial" w:hAnsi="Arial" w:cs="Arial"/>
          <w:b w:val="0"/>
          <w:color w:val="000000" w:themeColor="text1"/>
          <w:szCs w:val="24"/>
        </w:rPr>
        <w:t>rogramme on behalf of the Growth Board</w:t>
      </w:r>
      <w:r w:rsidR="00A73D12">
        <w:rPr>
          <w:rFonts w:ascii="Arial" w:hAnsi="Arial" w:cs="Arial"/>
          <w:b w:val="0"/>
          <w:color w:val="000000" w:themeColor="text1"/>
          <w:szCs w:val="24"/>
        </w:rPr>
        <w:t xml:space="preserve"> and a </w:t>
      </w:r>
      <w:r w:rsidR="00A73D12" w:rsidRPr="00A73D12">
        <w:rPr>
          <w:rFonts w:ascii="Arial" w:hAnsi="Arial" w:cs="Arial"/>
          <w:b w:val="0"/>
          <w:color w:val="000000" w:themeColor="text1"/>
          <w:szCs w:val="24"/>
        </w:rPr>
        <w:t>formal project and risk management approach will be followed for each programme and project.</w:t>
      </w:r>
    </w:p>
    <w:p w14:paraId="12202E74" w14:textId="77777777" w:rsidR="00A81CC7" w:rsidRPr="003048F2" w:rsidRDefault="00A81CC7" w:rsidP="003048F2">
      <w:pPr>
        <w:pStyle w:val="ListParagraph"/>
        <w:ind w:left="1175"/>
        <w:rPr>
          <w:rFonts w:ascii="Arial" w:hAnsi="Arial" w:cs="Arial"/>
          <w:szCs w:val="24"/>
        </w:rPr>
      </w:pPr>
    </w:p>
    <w:p w14:paraId="60D516C1" w14:textId="77777777" w:rsidR="005B06A6" w:rsidRPr="005B06A6" w:rsidRDefault="005B06A6" w:rsidP="005B06A6">
      <w:pPr>
        <w:pStyle w:val="ReportPara"/>
        <w:numPr>
          <w:ilvl w:val="0"/>
          <w:numId w:val="0"/>
        </w:numPr>
        <w:spacing w:after="0"/>
        <w:ind w:left="720"/>
        <w:jc w:val="both"/>
        <w:rPr>
          <w:rFonts w:ascii="Arial" w:hAnsi="Arial" w:cs="Arial"/>
          <w:szCs w:val="24"/>
        </w:rPr>
      </w:pPr>
    </w:p>
    <w:p w14:paraId="69D6E5E5" w14:textId="77777777" w:rsidR="005B06A6" w:rsidRDefault="005B06A6" w:rsidP="005B06A6">
      <w:pPr>
        <w:pStyle w:val="ListParagraph"/>
        <w:rPr>
          <w:rFonts w:ascii="Arial" w:hAnsi="Arial" w:cs="Arial"/>
          <w:color w:val="000000" w:themeColor="text1"/>
          <w:szCs w:val="24"/>
        </w:rPr>
      </w:pPr>
    </w:p>
    <w:p w14:paraId="04A44ECD" w14:textId="77777777" w:rsidR="005B06A6" w:rsidRPr="005B06A6" w:rsidRDefault="005B06A6" w:rsidP="005B06A6">
      <w:pPr>
        <w:pStyle w:val="ReportPara"/>
        <w:numPr>
          <w:ilvl w:val="0"/>
          <w:numId w:val="0"/>
        </w:numPr>
        <w:spacing w:after="0"/>
        <w:ind w:left="720"/>
        <w:jc w:val="both"/>
        <w:rPr>
          <w:rFonts w:ascii="Arial" w:hAnsi="Arial" w:cs="Arial"/>
          <w:szCs w:val="24"/>
        </w:rPr>
      </w:pPr>
      <w:bookmarkStart w:id="2" w:name="_GoBack"/>
      <w:bookmarkEnd w:id="2"/>
    </w:p>
    <w:p w14:paraId="77A2D74D" w14:textId="1A807E38" w:rsidR="000379EA" w:rsidRPr="003D32FA" w:rsidRDefault="00A73D12" w:rsidP="004C4B90">
      <w:pPr>
        <w:pStyle w:val="ReportPara"/>
        <w:numPr>
          <w:ilvl w:val="0"/>
          <w:numId w:val="45"/>
        </w:numPr>
        <w:spacing w:after="0"/>
        <w:jc w:val="both"/>
        <w:rPr>
          <w:rFonts w:ascii="Arial" w:hAnsi="Arial" w:cs="Arial"/>
          <w:szCs w:val="24"/>
        </w:rPr>
      </w:pPr>
      <w:r>
        <w:rPr>
          <w:rFonts w:ascii="Arial" w:hAnsi="Arial" w:cs="Arial"/>
          <w:color w:val="000000" w:themeColor="text1"/>
          <w:szCs w:val="24"/>
        </w:rPr>
        <w:t>Finally, i</w:t>
      </w:r>
      <w:r w:rsidR="00CA09F0">
        <w:rPr>
          <w:rFonts w:ascii="Arial" w:hAnsi="Arial" w:cs="Arial"/>
          <w:color w:val="000000" w:themeColor="text1"/>
          <w:szCs w:val="24"/>
        </w:rPr>
        <w:t xml:space="preserve">n order to be able to </w:t>
      </w:r>
      <w:r>
        <w:rPr>
          <w:rFonts w:ascii="Arial" w:hAnsi="Arial" w:cs="Arial"/>
          <w:color w:val="000000" w:themeColor="text1"/>
          <w:szCs w:val="24"/>
        </w:rPr>
        <w:t xml:space="preserve">discharge its function of oversight of the Deal, </w:t>
      </w:r>
      <w:r w:rsidRPr="003D32FA">
        <w:rPr>
          <w:rFonts w:ascii="Arial" w:hAnsi="Arial" w:cs="Arial"/>
          <w:color w:val="000000" w:themeColor="text1"/>
          <w:szCs w:val="24"/>
        </w:rPr>
        <w:t>the</w:t>
      </w:r>
      <w:r w:rsidR="000379EA" w:rsidRPr="003D32FA">
        <w:rPr>
          <w:rFonts w:ascii="Arial" w:hAnsi="Arial" w:cs="Arial"/>
          <w:color w:val="000000" w:themeColor="text1"/>
          <w:szCs w:val="24"/>
        </w:rPr>
        <w:t xml:space="preserve"> </w:t>
      </w:r>
      <w:r w:rsidR="008E60CD">
        <w:rPr>
          <w:rFonts w:ascii="Arial" w:hAnsi="Arial" w:cs="Arial"/>
          <w:color w:val="000000" w:themeColor="text1"/>
          <w:szCs w:val="24"/>
        </w:rPr>
        <w:t xml:space="preserve">Growth </w:t>
      </w:r>
      <w:r w:rsidR="00CC442E">
        <w:rPr>
          <w:rFonts w:ascii="Arial" w:hAnsi="Arial" w:cs="Arial"/>
          <w:color w:val="000000" w:themeColor="text1"/>
          <w:szCs w:val="24"/>
        </w:rPr>
        <w:t xml:space="preserve">Board will be </w:t>
      </w:r>
      <w:r w:rsidR="00B967CE">
        <w:rPr>
          <w:rFonts w:ascii="Arial" w:hAnsi="Arial" w:cs="Arial"/>
          <w:color w:val="000000" w:themeColor="text1"/>
          <w:szCs w:val="24"/>
        </w:rPr>
        <w:t>required to</w:t>
      </w:r>
      <w:r w:rsidR="005F764F">
        <w:rPr>
          <w:rFonts w:ascii="Arial" w:hAnsi="Arial" w:cs="Arial"/>
          <w:color w:val="000000" w:themeColor="text1"/>
          <w:szCs w:val="24"/>
        </w:rPr>
        <w:t xml:space="preserve"> review its Terms of R</w:t>
      </w:r>
      <w:r w:rsidR="000379EA" w:rsidRPr="003D32FA">
        <w:rPr>
          <w:rFonts w:ascii="Arial" w:hAnsi="Arial" w:cs="Arial"/>
          <w:color w:val="000000" w:themeColor="text1"/>
          <w:szCs w:val="24"/>
        </w:rPr>
        <w:t>eference</w:t>
      </w:r>
      <w:r w:rsidR="005F764F">
        <w:rPr>
          <w:rFonts w:ascii="Arial" w:hAnsi="Arial" w:cs="Arial"/>
          <w:color w:val="000000" w:themeColor="text1"/>
          <w:szCs w:val="24"/>
        </w:rPr>
        <w:t xml:space="preserve"> (ToR)</w:t>
      </w:r>
      <w:r w:rsidR="000379EA" w:rsidRPr="003D32FA">
        <w:rPr>
          <w:rFonts w:ascii="Arial" w:hAnsi="Arial" w:cs="Arial"/>
          <w:color w:val="000000" w:themeColor="text1"/>
          <w:szCs w:val="24"/>
        </w:rPr>
        <w:t xml:space="preserve"> </w:t>
      </w:r>
      <w:r w:rsidR="003D32FA" w:rsidRPr="003D32FA">
        <w:rPr>
          <w:rFonts w:ascii="Arial" w:hAnsi="Arial" w:cs="Arial"/>
          <w:color w:val="000000" w:themeColor="text1"/>
          <w:szCs w:val="24"/>
        </w:rPr>
        <w:t>to ensure they</w:t>
      </w:r>
      <w:r w:rsidR="00A81CC7" w:rsidRPr="003D32FA">
        <w:rPr>
          <w:rFonts w:ascii="Arial" w:hAnsi="Arial" w:cs="Arial"/>
          <w:color w:val="000000" w:themeColor="text1"/>
          <w:szCs w:val="24"/>
        </w:rPr>
        <w:t xml:space="preserve"> reflect</w:t>
      </w:r>
      <w:r w:rsidR="009A4A5F" w:rsidRPr="003D32FA">
        <w:rPr>
          <w:rFonts w:ascii="Arial" w:hAnsi="Arial" w:cs="Arial"/>
          <w:color w:val="000000" w:themeColor="text1"/>
          <w:szCs w:val="24"/>
        </w:rPr>
        <w:t xml:space="preserve"> </w:t>
      </w:r>
      <w:r w:rsidR="008E60CD">
        <w:rPr>
          <w:rFonts w:ascii="Arial" w:hAnsi="Arial" w:cs="Arial"/>
          <w:color w:val="000000" w:themeColor="text1"/>
          <w:szCs w:val="24"/>
        </w:rPr>
        <w:t xml:space="preserve">its </w:t>
      </w:r>
      <w:r w:rsidR="009A4A5F" w:rsidRPr="003D32FA">
        <w:rPr>
          <w:rFonts w:ascii="Arial" w:hAnsi="Arial" w:cs="Arial"/>
          <w:color w:val="000000" w:themeColor="text1"/>
          <w:szCs w:val="24"/>
        </w:rPr>
        <w:t xml:space="preserve">new </w:t>
      </w:r>
      <w:r w:rsidR="00A81CC7" w:rsidRPr="003D32FA">
        <w:rPr>
          <w:rFonts w:ascii="Arial" w:hAnsi="Arial" w:cs="Arial"/>
          <w:color w:val="000000" w:themeColor="text1"/>
          <w:szCs w:val="24"/>
        </w:rPr>
        <w:t>responsibilities</w:t>
      </w:r>
      <w:r>
        <w:rPr>
          <w:rFonts w:ascii="Arial" w:hAnsi="Arial" w:cs="Arial"/>
          <w:color w:val="000000" w:themeColor="text1"/>
          <w:szCs w:val="24"/>
        </w:rPr>
        <w:t>.</w:t>
      </w:r>
      <w:r w:rsidR="00A81CC7" w:rsidRPr="003D32FA">
        <w:rPr>
          <w:rFonts w:ascii="Arial" w:hAnsi="Arial" w:cs="Arial"/>
          <w:color w:val="000000" w:themeColor="text1"/>
          <w:szCs w:val="24"/>
        </w:rPr>
        <w:t xml:space="preserve"> Th</w:t>
      </w:r>
      <w:r>
        <w:rPr>
          <w:rFonts w:ascii="Arial" w:hAnsi="Arial" w:cs="Arial"/>
          <w:color w:val="000000" w:themeColor="text1"/>
          <w:szCs w:val="24"/>
        </w:rPr>
        <w:t xml:space="preserve">e Deal commits this to </w:t>
      </w:r>
      <w:proofErr w:type="gramStart"/>
      <w:r w:rsidR="009A4A5F" w:rsidRPr="003D32FA">
        <w:rPr>
          <w:rFonts w:ascii="Arial" w:hAnsi="Arial" w:cs="Arial"/>
          <w:color w:val="000000" w:themeColor="text1"/>
          <w:szCs w:val="24"/>
        </w:rPr>
        <w:t>be completed</w:t>
      </w:r>
      <w:proofErr w:type="gramEnd"/>
      <w:r w:rsidR="009A4A5F" w:rsidRPr="003D32FA">
        <w:rPr>
          <w:rFonts w:ascii="Arial" w:hAnsi="Arial" w:cs="Arial"/>
          <w:color w:val="000000" w:themeColor="text1"/>
          <w:szCs w:val="24"/>
        </w:rPr>
        <w:t xml:space="preserve"> by April 2018. </w:t>
      </w:r>
    </w:p>
    <w:p w14:paraId="3D2AA9E5" w14:textId="77777777" w:rsidR="009A4A5F" w:rsidRPr="003048F2" w:rsidRDefault="009A4A5F" w:rsidP="003048F2">
      <w:pPr>
        <w:pStyle w:val="ListParagraph"/>
        <w:rPr>
          <w:rFonts w:ascii="Arial" w:hAnsi="Arial" w:cs="Arial"/>
          <w:szCs w:val="24"/>
        </w:rPr>
      </w:pPr>
    </w:p>
    <w:bookmarkEnd w:id="1"/>
    <w:p w14:paraId="5F261182" w14:textId="77777777" w:rsidR="00C5447E" w:rsidRDefault="00F278AE" w:rsidP="004C4B90">
      <w:pPr>
        <w:pStyle w:val="Heading1"/>
        <w:numPr>
          <w:ilvl w:val="0"/>
          <w:numId w:val="0"/>
        </w:numPr>
        <w:spacing w:before="0" w:after="0"/>
        <w:ind w:left="360" w:hanging="360"/>
        <w:jc w:val="both"/>
        <w:rPr>
          <w:rFonts w:ascii="Arial" w:hAnsi="Arial" w:cs="Arial"/>
        </w:rPr>
      </w:pPr>
      <w:r w:rsidRPr="003048F2">
        <w:rPr>
          <w:rFonts w:ascii="Arial" w:hAnsi="Arial" w:cs="Arial"/>
        </w:rPr>
        <w:t>FINANCIAL IMPLICATIONS</w:t>
      </w:r>
    </w:p>
    <w:p w14:paraId="5EA519CA" w14:textId="77777777" w:rsidR="00212088" w:rsidRPr="00212088" w:rsidRDefault="00212088" w:rsidP="00212088">
      <w:pPr>
        <w:pStyle w:val="ReportPara"/>
        <w:numPr>
          <w:ilvl w:val="0"/>
          <w:numId w:val="0"/>
        </w:numPr>
        <w:ind w:left="1142"/>
      </w:pPr>
    </w:p>
    <w:p w14:paraId="41EDAB90" w14:textId="6C1FCFA4" w:rsidR="003048F2" w:rsidRDefault="001956BF" w:rsidP="004C4B90">
      <w:pPr>
        <w:pStyle w:val="ReportPara"/>
        <w:numPr>
          <w:ilvl w:val="0"/>
          <w:numId w:val="45"/>
        </w:numPr>
        <w:spacing w:after="0"/>
        <w:jc w:val="both"/>
        <w:rPr>
          <w:rFonts w:ascii="Arial" w:hAnsi="Arial" w:cs="Arial"/>
          <w:szCs w:val="24"/>
        </w:rPr>
      </w:pPr>
      <w:r w:rsidRPr="00A73D12">
        <w:rPr>
          <w:rFonts w:ascii="Arial" w:hAnsi="Arial" w:cs="Arial"/>
          <w:szCs w:val="24"/>
        </w:rPr>
        <w:t xml:space="preserve">The </w:t>
      </w:r>
      <w:r w:rsidR="008E60CD">
        <w:rPr>
          <w:rFonts w:ascii="Arial" w:hAnsi="Arial" w:cs="Arial"/>
          <w:szCs w:val="24"/>
        </w:rPr>
        <w:t xml:space="preserve">Growth </w:t>
      </w:r>
      <w:r w:rsidR="00212088">
        <w:rPr>
          <w:rFonts w:ascii="Arial" w:hAnsi="Arial" w:cs="Arial"/>
          <w:szCs w:val="24"/>
        </w:rPr>
        <w:t>B</w:t>
      </w:r>
      <w:r w:rsidR="00A73D12" w:rsidRPr="00A73D12">
        <w:rPr>
          <w:rFonts w:ascii="Arial" w:hAnsi="Arial" w:cs="Arial"/>
          <w:szCs w:val="24"/>
        </w:rPr>
        <w:t xml:space="preserve">oard will have noted that </w:t>
      </w:r>
      <w:r w:rsidR="008E60CD">
        <w:rPr>
          <w:rFonts w:ascii="Arial" w:hAnsi="Arial" w:cs="Arial"/>
          <w:szCs w:val="24"/>
        </w:rPr>
        <w:t>the De</w:t>
      </w:r>
      <w:r w:rsidRPr="00A73D12">
        <w:rPr>
          <w:rFonts w:ascii="Arial" w:hAnsi="Arial" w:cs="Arial"/>
          <w:szCs w:val="24"/>
        </w:rPr>
        <w:t xml:space="preserve">al </w:t>
      </w:r>
      <w:r w:rsidR="00A73D12" w:rsidRPr="00A73D12">
        <w:rPr>
          <w:rFonts w:ascii="Arial" w:hAnsi="Arial" w:cs="Arial"/>
          <w:szCs w:val="24"/>
        </w:rPr>
        <w:t xml:space="preserve">brings with it significant additional funds for </w:t>
      </w:r>
      <w:r w:rsidR="00605A2E">
        <w:rPr>
          <w:rFonts w:ascii="Arial" w:hAnsi="Arial" w:cs="Arial"/>
          <w:szCs w:val="24"/>
        </w:rPr>
        <w:t>Oxfordshire.</w:t>
      </w:r>
      <w:r w:rsidR="005F764F">
        <w:rPr>
          <w:rFonts w:ascii="Arial" w:hAnsi="Arial" w:cs="Arial"/>
          <w:szCs w:val="24"/>
        </w:rPr>
        <w:t xml:space="preserve"> </w:t>
      </w:r>
      <w:r w:rsidR="00605A2E">
        <w:rPr>
          <w:rFonts w:ascii="Arial" w:hAnsi="Arial" w:cs="Arial"/>
          <w:szCs w:val="24"/>
        </w:rPr>
        <w:t xml:space="preserve">This will require a step change in the processes that manage the finances of the </w:t>
      </w:r>
      <w:r w:rsidR="00A0773C">
        <w:rPr>
          <w:rFonts w:ascii="Arial" w:hAnsi="Arial" w:cs="Arial"/>
          <w:szCs w:val="24"/>
        </w:rPr>
        <w:t xml:space="preserve">Growth </w:t>
      </w:r>
      <w:r w:rsidR="00605A2E">
        <w:rPr>
          <w:rFonts w:ascii="Arial" w:hAnsi="Arial" w:cs="Arial"/>
          <w:szCs w:val="24"/>
        </w:rPr>
        <w:t>Board.</w:t>
      </w:r>
    </w:p>
    <w:p w14:paraId="2C27C08E" w14:textId="77777777" w:rsidR="00605A2E" w:rsidRDefault="00605A2E" w:rsidP="003048F2">
      <w:pPr>
        <w:pStyle w:val="ReportPara"/>
        <w:numPr>
          <w:ilvl w:val="0"/>
          <w:numId w:val="0"/>
        </w:numPr>
        <w:spacing w:after="0"/>
        <w:ind w:left="1134"/>
        <w:jc w:val="both"/>
        <w:rPr>
          <w:rFonts w:ascii="Arial" w:hAnsi="Arial" w:cs="Arial"/>
          <w:szCs w:val="24"/>
        </w:rPr>
      </w:pPr>
    </w:p>
    <w:p w14:paraId="55DB84D5" w14:textId="53B4C7C7" w:rsidR="003A0D8E" w:rsidRPr="003048F2" w:rsidRDefault="00605A2E" w:rsidP="004C4B90">
      <w:pPr>
        <w:pStyle w:val="ReportPara"/>
        <w:numPr>
          <w:ilvl w:val="0"/>
          <w:numId w:val="45"/>
        </w:numPr>
        <w:spacing w:after="0"/>
        <w:jc w:val="both"/>
        <w:rPr>
          <w:rFonts w:ascii="Arial" w:hAnsi="Arial" w:cs="Arial"/>
          <w:szCs w:val="24"/>
        </w:rPr>
      </w:pPr>
      <w:r>
        <w:rPr>
          <w:rFonts w:ascii="Arial" w:hAnsi="Arial" w:cs="Arial"/>
          <w:szCs w:val="24"/>
        </w:rPr>
        <w:t xml:space="preserve">The </w:t>
      </w:r>
      <w:r w:rsidR="005F764F">
        <w:rPr>
          <w:rFonts w:ascii="Arial" w:hAnsi="Arial" w:cs="Arial"/>
          <w:szCs w:val="24"/>
        </w:rPr>
        <w:t>ToR</w:t>
      </w:r>
      <w:r>
        <w:rPr>
          <w:rFonts w:ascii="Arial" w:hAnsi="Arial" w:cs="Arial"/>
          <w:szCs w:val="24"/>
        </w:rPr>
        <w:t xml:space="preserve"> for the </w:t>
      </w:r>
      <w:r w:rsidR="008E60CD">
        <w:rPr>
          <w:rFonts w:ascii="Arial" w:hAnsi="Arial" w:cs="Arial"/>
          <w:szCs w:val="24"/>
        </w:rPr>
        <w:t xml:space="preserve">Growth </w:t>
      </w:r>
      <w:r>
        <w:rPr>
          <w:rFonts w:ascii="Arial" w:hAnsi="Arial" w:cs="Arial"/>
          <w:szCs w:val="24"/>
        </w:rPr>
        <w:t xml:space="preserve">Board </w:t>
      </w:r>
      <w:r w:rsidR="005F764F">
        <w:rPr>
          <w:rFonts w:ascii="Arial" w:hAnsi="Arial" w:cs="Arial"/>
          <w:szCs w:val="24"/>
        </w:rPr>
        <w:t>establishes</w:t>
      </w:r>
      <w:r>
        <w:rPr>
          <w:rFonts w:ascii="Arial" w:hAnsi="Arial" w:cs="Arial"/>
          <w:szCs w:val="24"/>
        </w:rPr>
        <w:t xml:space="preserve"> </w:t>
      </w:r>
      <w:r w:rsidRPr="00605A2E">
        <w:rPr>
          <w:rFonts w:ascii="Arial" w:hAnsi="Arial" w:cs="Arial"/>
          <w:szCs w:val="24"/>
        </w:rPr>
        <w:t xml:space="preserve">Oxfordshire County Council </w:t>
      </w:r>
      <w:r w:rsidR="005F764F">
        <w:rPr>
          <w:rFonts w:ascii="Arial" w:hAnsi="Arial" w:cs="Arial"/>
          <w:szCs w:val="24"/>
        </w:rPr>
        <w:t xml:space="preserve">(OCC) </w:t>
      </w:r>
      <w:r>
        <w:rPr>
          <w:rFonts w:ascii="Arial" w:hAnsi="Arial" w:cs="Arial"/>
          <w:szCs w:val="24"/>
        </w:rPr>
        <w:t xml:space="preserve">as the </w:t>
      </w:r>
      <w:r w:rsidRPr="00605A2E">
        <w:rPr>
          <w:rFonts w:ascii="Arial" w:hAnsi="Arial" w:cs="Arial"/>
          <w:szCs w:val="24"/>
        </w:rPr>
        <w:t xml:space="preserve">Accountable Body for the </w:t>
      </w:r>
      <w:r>
        <w:rPr>
          <w:rFonts w:ascii="Arial" w:hAnsi="Arial" w:cs="Arial"/>
          <w:szCs w:val="24"/>
        </w:rPr>
        <w:t xml:space="preserve">Growth Board and </w:t>
      </w:r>
      <w:r w:rsidR="005F764F">
        <w:rPr>
          <w:rFonts w:ascii="Arial" w:hAnsi="Arial" w:cs="Arial"/>
          <w:szCs w:val="24"/>
        </w:rPr>
        <w:t>OCC</w:t>
      </w:r>
      <w:r>
        <w:rPr>
          <w:rFonts w:ascii="Arial" w:hAnsi="Arial" w:cs="Arial"/>
          <w:szCs w:val="24"/>
        </w:rPr>
        <w:t xml:space="preserve"> already </w:t>
      </w:r>
      <w:r w:rsidRPr="00605A2E">
        <w:rPr>
          <w:rFonts w:ascii="Arial" w:hAnsi="Arial" w:cs="Arial"/>
          <w:szCs w:val="24"/>
        </w:rPr>
        <w:t xml:space="preserve">provides </w:t>
      </w:r>
      <w:r>
        <w:rPr>
          <w:rFonts w:ascii="Arial" w:hAnsi="Arial" w:cs="Arial"/>
          <w:szCs w:val="24"/>
        </w:rPr>
        <w:t xml:space="preserve">both </w:t>
      </w:r>
      <w:r w:rsidR="008E60CD">
        <w:rPr>
          <w:rFonts w:ascii="Arial" w:hAnsi="Arial" w:cs="Arial"/>
          <w:szCs w:val="24"/>
        </w:rPr>
        <w:t xml:space="preserve">this, </w:t>
      </w:r>
      <w:r w:rsidRPr="00605A2E">
        <w:rPr>
          <w:rFonts w:ascii="Arial" w:hAnsi="Arial" w:cs="Arial"/>
          <w:szCs w:val="24"/>
        </w:rPr>
        <w:t>Section 151 and Monitoring Officer roles.</w:t>
      </w:r>
      <w:r>
        <w:rPr>
          <w:rFonts w:ascii="Arial" w:hAnsi="Arial" w:cs="Arial"/>
          <w:szCs w:val="24"/>
        </w:rPr>
        <w:t xml:space="preserve"> </w:t>
      </w:r>
      <w:r w:rsidR="00212088">
        <w:rPr>
          <w:rFonts w:ascii="Arial" w:hAnsi="Arial" w:cs="Arial"/>
          <w:szCs w:val="24"/>
        </w:rPr>
        <w:t>It</w:t>
      </w:r>
      <w:r>
        <w:rPr>
          <w:rFonts w:ascii="Arial" w:hAnsi="Arial" w:cs="Arial"/>
          <w:szCs w:val="24"/>
        </w:rPr>
        <w:t xml:space="preserve"> </w:t>
      </w:r>
      <w:proofErr w:type="gramStart"/>
      <w:r>
        <w:rPr>
          <w:rFonts w:ascii="Arial" w:hAnsi="Arial" w:cs="Arial"/>
          <w:szCs w:val="24"/>
        </w:rPr>
        <w:t>is proposed</w:t>
      </w:r>
      <w:proofErr w:type="gramEnd"/>
      <w:r>
        <w:rPr>
          <w:rFonts w:ascii="Arial" w:hAnsi="Arial" w:cs="Arial"/>
          <w:szCs w:val="24"/>
        </w:rPr>
        <w:t xml:space="preserve"> that </w:t>
      </w:r>
      <w:r w:rsidR="005F764F">
        <w:rPr>
          <w:rFonts w:ascii="Arial" w:hAnsi="Arial" w:cs="Arial"/>
          <w:szCs w:val="24"/>
        </w:rPr>
        <w:t>OCC</w:t>
      </w:r>
      <w:r>
        <w:rPr>
          <w:rFonts w:ascii="Arial" w:hAnsi="Arial" w:cs="Arial"/>
          <w:szCs w:val="24"/>
        </w:rPr>
        <w:t xml:space="preserve"> expand this role to include the </w:t>
      </w:r>
      <w:r w:rsidRPr="00605A2E">
        <w:rPr>
          <w:rFonts w:ascii="Arial" w:hAnsi="Arial" w:cs="Arial"/>
          <w:szCs w:val="24"/>
        </w:rPr>
        <w:t>Deal</w:t>
      </w:r>
      <w:r w:rsidR="00B967CE">
        <w:rPr>
          <w:rFonts w:ascii="Arial" w:hAnsi="Arial" w:cs="Arial"/>
          <w:szCs w:val="24"/>
        </w:rPr>
        <w:t xml:space="preserve"> and to provide relevant reports to the Growth Board on a quarterly basis.</w:t>
      </w:r>
      <w:r w:rsidRPr="00605A2E">
        <w:rPr>
          <w:rFonts w:ascii="Arial" w:hAnsi="Arial" w:cs="Arial"/>
          <w:szCs w:val="24"/>
        </w:rPr>
        <w:t xml:space="preserve"> </w:t>
      </w:r>
    </w:p>
    <w:p w14:paraId="6183D131" w14:textId="77777777" w:rsidR="005C1878" w:rsidRPr="003048F2" w:rsidRDefault="005C1878" w:rsidP="003048F2">
      <w:pPr>
        <w:pStyle w:val="ReportPara"/>
        <w:numPr>
          <w:ilvl w:val="0"/>
          <w:numId w:val="0"/>
        </w:numPr>
        <w:spacing w:after="0"/>
        <w:ind w:left="1170"/>
        <w:jc w:val="both"/>
        <w:rPr>
          <w:rFonts w:ascii="Arial" w:hAnsi="Arial" w:cs="Arial"/>
          <w:szCs w:val="24"/>
        </w:rPr>
      </w:pPr>
    </w:p>
    <w:p w14:paraId="0EFFDA95" w14:textId="77777777" w:rsidR="003A0D8E" w:rsidRPr="003048F2" w:rsidRDefault="003A0D8E" w:rsidP="003048F2">
      <w:pPr>
        <w:pStyle w:val="ReportPara"/>
        <w:numPr>
          <w:ilvl w:val="0"/>
          <w:numId w:val="0"/>
        </w:numPr>
        <w:spacing w:after="0"/>
        <w:ind w:left="1142"/>
        <w:rPr>
          <w:rFonts w:ascii="Arial" w:eastAsiaTheme="minorHAnsi" w:hAnsi="Arial" w:cs="Arial"/>
          <w:szCs w:val="24"/>
        </w:rPr>
      </w:pPr>
    </w:p>
    <w:p w14:paraId="08714380" w14:textId="5503F91F" w:rsidR="00836FDD" w:rsidRDefault="00836FDD" w:rsidP="004C4B90">
      <w:pPr>
        <w:pStyle w:val="Heading1"/>
        <w:numPr>
          <w:ilvl w:val="0"/>
          <w:numId w:val="0"/>
        </w:numPr>
        <w:spacing w:before="0" w:after="0"/>
        <w:ind w:left="360" w:hanging="360"/>
        <w:jc w:val="both"/>
        <w:rPr>
          <w:rFonts w:ascii="Arial" w:hAnsi="Arial" w:cs="Arial"/>
        </w:rPr>
      </w:pPr>
      <w:r w:rsidRPr="003048F2">
        <w:rPr>
          <w:rFonts w:ascii="Arial" w:hAnsi="Arial" w:cs="Arial"/>
        </w:rPr>
        <w:t>RISK</w:t>
      </w:r>
      <w:r w:rsidR="00DA164F">
        <w:rPr>
          <w:rFonts w:ascii="Arial" w:hAnsi="Arial" w:cs="Arial"/>
        </w:rPr>
        <w:t xml:space="preserve"> MANAGEMENT</w:t>
      </w:r>
    </w:p>
    <w:p w14:paraId="6C6F286E" w14:textId="77777777" w:rsidR="005F764F" w:rsidRDefault="005F764F" w:rsidP="005F764F">
      <w:pPr>
        <w:pStyle w:val="ReportPara"/>
        <w:numPr>
          <w:ilvl w:val="0"/>
          <w:numId w:val="0"/>
        </w:numPr>
        <w:spacing w:after="0"/>
        <w:ind w:left="426"/>
        <w:jc w:val="both"/>
        <w:rPr>
          <w:rFonts w:ascii="Arial" w:hAnsi="Arial" w:cs="Arial"/>
          <w:szCs w:val="24"/>
        </w:rPr>
      </w:pPr>
    </w:p>
    <w:p w14:paraId="7C372FE8" w14:textId="5960F721" w:rsidR="00836FDD" w:rsidRPr="003048F2" w:rsidRDefault="00BB6BA2" w:rsidP="004C4B90">
      <w:pPr>
        <w:pStyle w:val="ReportPara"/>
        <w:numPr>
          <w:ilvl w:val="0"/>
          <w:numId w:val="45"/>
        </w:numPr>
        <w:spacing w:after="0"/>
        <w:jc w:val="both"/>
        <w:rPr>
          <w:rFonts w:ascii="Arial" w:hAnsi="Arial" w:cs="Arial"/>
          <w:szCs w:val="24"/>
        </w:rPr>
      </w:pPr>
      <w:r>
        <w:rPr>
          <w:rFonts w:ascii="Arial" w:hAnsi="Arial" w:cs="Arial"/>
          <w:szCs w:val="24"/>
        </w:rPr>
        <w:t>Although the Deal provides a unique opportunity for Oxfordshire</w:t>
      </w:r>
      <w:r w:rsidR="005F764F">
        <w:rPr>
          <w:rFonts w:ascii="Arial" w:hAnsi="Arial" w:cs="Arial"/>
          <w:szCs w:val="24"/>
        </w:rPr>
        <w:t>,</w:t>
      </w:r>
      <w:r>
        <w:rPr>
          <w:rFonts w:ascii="Arial" w:hAnsi="Arial" w:cs="Arial"/>
          <w:szCs w:val="24"/>
        </w:rPr>
        <w:t xml:space="preserve"> the commitment brings with it certain risks. For example i</w:t>
      </w:r>
      <w:r w:rsidR="00610FE4" w:rsidRPr="003048F2">
        <w:rPr>
          <w:rFonts w:ascii="Arial" w:hAnsi="Arial" w:cs="Arial"/>
          <w:szCs w:val="24"/>
        </w:rPr>
        <w:t xml:space="preserve">f Oxfordshire </w:t>
      </w:r>
      <w:r w:rsidR="005F764F" w:rsidRPr="003048F2">
        <w:rPr>
          <w:rFonts w:ascii="Arial" w:hAnsi="Arial" w:cs="Arial"/>
          <w:szCs w:val="24"/>
        </w:rPr>
        <w:t>Partners</w:t>
      </w:r>
      <w:r w:rsidR="005F764F">
        <w:rPr>
          <w:rFonts w:ascii="Arial" w:hAnsi="Arial" w:cs="Arial"/>
          <w:szCs w:val="24"/>
        </w:rPr>
        <w:t xml:space="preserve"> do not </w:t>
      </w:r>
      <w:r w:rsidR="00C72963">
        <w:rPr>
          <w:rFonts w:ascii="Arial" w:hAnsi="Arial" w:cs="Arial"/>
          <w:szCs w:val="24"/>
        </w:rPr>
        <w:t>agree</w:t>
      </w:r>
      <w:r w:rsidR="005F764F">
        <w:rPr>
          <w:rFonts w:ascii="Arial" w:hAnsi="Arial" w:cs="Arial"/>
          <w:szCs w:val="24"/>
        </w:rPr>
        <w:t xml:space="preserve"> the </w:t>
      </w:r>
      <w:r w:rsidR="00C72963">
        <w:rPr>
          <w:rFonts w:ascii="Arial" w:hAnsi="Arial" w:cs="Arial"/>
          <w:szCs w:val="24"/>
        </w:rPr>
        <w:t>Deal,</w:t>
      </w:r>
      <w:r w:rsidR="00C72963" w:rsidRPr="003048F2">
        <w:rPr>
          <w:rFonts w:ascii="Arial" w:hAnsi="Arial" w:cs="Arial"/>
          <w:szCs w:val="24"/>
        </w:rPr>
        <w:t xml:space="preserve"> </w:t>
      </w:r>
      <w:r w:rsidR="00C72963">
        <w:rPr>
          <w:rFonts w:ascii="Arial" w:hAnsi="Arial" w:cs="Arial"/>
          <w:szCs w:val="24"/>
        </w:rPr>
        <w:t xml:space="preserve">we will forego </w:t>
      </w:r>
      <w:r w:rsidR="00C72963" w:rsidRPr="003048F2">
        <w:rPr>
          <w:rFonts w:ascii="Arial" w:hAnsi="Arial" w:cs="Arial"/>
          <w:szCs w:val="24"/>
        </w:rPr>
        <w:t>the</w:t>
      </w:r>
      <w:r w:rsidR="00610FE4" w:rsidRPr="003048F2">
        <w:rPr>
          <w:rFonts w:ascii="Arial" w:hAnsi="Arial" w:cs="Arial"/>
          <w:szCs w:val="24"/>
        </w:rPr>
        <w:t xml:space="preserve"> opportunity to secure £215 million investment</w:t>
      </w:r>
      <w:r>
        <w:rPr>
          <w:rFonts w:ascii="Arial" w:hAnsi="Arial" w:cs="Arial"/>
          <w:szCs w:val="24"/>
        </w:rPr>
        <w:t xml:space="preserve"> with a consequent reputational risk.</w:t>
      </w:r>
      <w:r w:rsidR="005F764F">
        <w:rPr>
          <w:rFonts w:ascii="Arial" w:hAnsi="Arial" w:cs="Arial"/>
          <w:szCs w:val="24"/>
        </w:rPr>
        <w:t xml:space="preserve"> Similarly,</w:t>
      </w:r>
      <w:r>
        <w:rPr>
          <w:rFonts w:ascii="Arial" w:hAnsi="Arial" w:cs="Arial"/>
          <w:szCs w:val="24"/>
        </w:rPr>
        <w:t xml:space="preserve"> if during the Deal </w:t>
      </w:r>
      <w:r w:rsidR="005F764F">
        <w:rPr>
          <w:rFonts w:ascii="Arial" w:hAnsi="Arial" w:cs="Arial"/>
          <w:szCs w:val="24"/>
        </w:rPr>
        <w:t>period</w:t>
      </w:r>
      <w:r>
        <w:rPr>
          <w:rFonts w:ascii="Arial" w:hAnsi="Arial" w:cs="Arial"/>
          <w:szCs w:val="24"/>
        </w:rPr>
        <w:t xml:space="preserve"> Oxfordshire </w:t>
      </w:r>
      <w:r w:rsidR="00A0773C">
        <w:rPr>
          <w:rFonts w:ascii="Arial" w:hAnsi="Arial" w:cs="Arial"/>
          <w:szCs w:val="24"/>
        </w:rPr>
        <w:t>partners are</w:t>
      </w:r>
      <w:r>
        <w:rPr>
          <w:rFonts w:ascii="Arial" w:hAnsi="Arial" w:cs="Arial"/>
          <w:szCs w:val="24"/>
        </w:rPr>
        <w:t xml:space="preserve"> unable to deliver on agreed milestones then there is a risk that funding </w:t>
      </w:r>
      <w:r w:rsidR="00C72963">
        <w:rPr>
          <w:rFonts w:ascii="Arial" w:hAnsi="Arial" w:cs="Arial"/>
          <w:szCs w:val="24"/>
        </w:rPr>
        <w:t>could</w:t>
      </w:r>
      <w:r>
        <w:rPr>
          <w:rFonts w:ascii="Arial" w:hAnsi="Arial" w:cs="Arial"/>
          <w:szCs w:val="24"/>
        </w:rPr>
        <w:t xml:space="preserve"> be </w:t>
      </w:r>
      <w:r w:rsidR="00B967CE">
        <w:rPr>
          <w:rFonts w:ascii="Arial" w:hAnsi="Arial" w:cs="Arial"/>
          <w:szCs w:val="24"/>
        </w:rPr>
        <w:t xml:space="preserve">either </w:t>
      </w:r>
      <w:r>
        <w:rPr>
          <w:rFonts w:ascii="Arial" w:hAnsi="Arial" w:cs="Arial"/>
          <w:szCs w:val="24"/>
        </w:rPr>
        <w:t>withheld</w:t>
      </w:r>
      <w:r w:rsidR="005F764F">
        <w:rPr>
          <w:rFonts w:ascii="Arial" w:hAnsi="Arial" w:cs="Arial"/>
          <w:szCs w:val="24"/>
        </w:rPr>
        <w:t>,</w:t>
      </w:r>
      <w:r>
        <w:rPr>
          <w:rFonts w:ascii="Arial" w:hAnsi="Arial" w:cs="Arial"/>
          <w:szCs w:val="24"/>
        </w:rPr>
        <w:t xml:space="preserve"> or potentially clawed back</w:t>
      </w:r>
      <w:r w:rsidR="00070217">
        <w:rPr>
          <w:rFonts w:ascii="Arial" w:hAnsi="Arial" w:cs="Arial"/>
          <w:szCs w:val="24"/>
        </w:rPr>
        <w:t>.</w:t>
      </w:r>
    </w:p>
    <w:p w14:paraId="6C35D023" w14:textId="77777777" w:rsidR="00124AE4" w:rsidRPr="003048F2" w:rsidRDefault="00124AE4" w:rsidP="003048F2">
      <w:pPr>
        <w:pStyle w:val="ReportPara"/>
        <w:numPr>
          <w:ilvl w:val="0"/>
          <w:numId w:val="0"/>
        </w:numPr>
        <w:spacing w:after="0"/>
        <w:ind w:left="851" w:hanging="401"/>
        <w:jc w:val="both"/>
        <w:rPr>
          <w:rFonts w:ascii="Arial" w:hAnsi="Arial" w:cs="Arial"/>
          <w:szCs w:val="24"/>
        </w:rPr>
      </w:pPr>
    </w:p>
    <w:p w14:paraId="677ECE77" w14:textId="22922759" w:rsidR="00124AE4" w:rsidRDefault="00BB6BA2" w:rsidP="004C4B90">
      <w:pPr>
        <w:pStyle w:val="ReportPara"/>
        <w:numPr>
          <w:ilvl w:val="0"/>
          <w:numId w:val="45"/>
        </w:numPr>
        <w:spacing w:after="0"/>
        <w:jc w:val="both"/>
        <w:rPr>
          <w:rFonts w:ascii="Arial" w:hAnsi="Arial" w:cs="Arial"/>
          <w:color w:val="000000" w:themeColor="text1"/>
          <w:szCs w:val="24"/>
          <w:lang w:val="en-US"/>
        </w:rPr>
      </w:pPr>
      <w:r>
        <w:rPr>
          <w:rFonts w:ascii="Arial" w:hAnsi="Arial" w:cs="Arial"/>
          <w:color w:val="000000" w:themeColor="text1"/>
          <w:szCs w:val="24"/>
          <w:lang w:val="en-US"/>
        </w:rPr>
        <w:t>Risk management will be a central part of the regime of pro</w:t>
      </w:r>
      <w:r w:rsidR="005F764F">
        <w:rPr>
          <w:rFonts w:ascii="Arial" w:hAnsi="Arial" w:cs="Arial"/>
          <w:color w:val="000000" w:themeColor="text1"/>
          <w:szCs w:val="24"/>
          <w:lang w:val="en-US"/>
        </w:rPr>
        <w:t>gramme management of the D</w:t>
      </w:r>
      <w:r>
        <w:rPr>
          <w:rFonts w:ascii="Arial" w:hAnsi="Arial" w:cs="Arial"/>
          <w:color w:val="000000" w:themeColor="text1"/>
          <w:szCs w:val="24"/>
          <w:lang w:val="en-US"/>
        </w:rPr>
        <w:t xml:space="preserve">eal and both a </w:t>
      </w:r>
      <w:r w:rsidR="00124AE4" w:rsidRPr="003048F2">
        <w:rPr>
          <w:rFonts w:ascii="Arial" w:hAnsi="Arial" w:cs="Arial"/>
          <w:color w:val="000000" w:themeColor="text1"/>
          <w:szCs w:val="24"/>
          <w:lang w:val="en-US"/>
        </w:rPr>
        <w:t xml:space="preserve">strategic risk register </w:t>
      </w:r>
      <w:r>
        <w:rPr>
          <w:rFonts w:ascii="Arial" w:hAnsi="Arial" w:cs="Arial"/>
          <w:color w:val="000000" w:themeColor="text1"/>
          <w:szCs w:val="24"/>
          <w:lang w:val="en-US"/>
        </w:rPr>
        <w:t>and s</w:t>
      </w:r>
      <w:r w:rsidR="00124AE4" w:rsidRPr="003048F2">
        <w:rPr>
          <w:rFonts w:ascii="Arial" w:hAnsi="Arial" w:cs="Arial"/>
          <w:color w:val="000000" w:themeColor="text1"/>
          <w:szCs w:val="24"/>
          <w:lang w:val="en-US"/>
        </w:rPr>
        <w:t xml:space="preserve">eparate risk registers </w:t>
      </w:r>
      <w:r>
        <w:rPr>
          <w:rFonts w:ascii="Arial" w:hAnsi="Arial" w:cs="Arial"/>
          <w:color w:val="000000" w:themeColor="text1"/>
          <w:szCs w:val="24"/>
          <w:lang w:val="en-US"/>
        </w:rPr>
        <w:t xml:space="preserve">for each work strand and projects within them </w:t>
      </w:r>
      <w:r w:rsidR="00124AE4" w:rsidRPr="003048F2">
        <w:rPr>
          <w:rFonts w:ascii="Arial" w:hAnsi="Arial" w:cs="Arial"/>
          <w:color w:val="000000" w:themeColor="text1"/>
          <w:szCs w:val="24"/>
          <w:lang w:val="en-US"/>
        </w:rPr>
        <w:t>will be put in place and maintained</w:t>
      </w:r>
      <w:r>
        <w:rPr>
          <w:rFonts w:ascii="Arial" w:hAnsi="Arial" w:cs="Arial"/>
          <w:color w:val="000000" w:themeColor="text1"/>
          <w:szCs w:val="24"/>
          <w:lang w:val="en-US"/>
        </w:rPr>
        <w:t xml:space="preserve">. </w:t>
      </w:r>
      <w:r w:rsidR="00124AE4" w:rsidRPr="003048F2">
        <w:rPr>
          <w:rFonts w:ascii="Arial" w:hAnsi="Arial" w:cs="Arial"/>
          <w:color w:val="000000" w:themeColor="text1"/>
          <w:szCs w:val="24"/>
          <w:lang w:val="en-US"/>
        </w:rPr>
        <w:t xml:space="preserve">Reporting on performance and risks will be by agreed exception to </w:t>
      </w:r>
      <w:r w:rsidR="005F764F">
        <w:rPr>
          <w:rFonts w:ascii="Arial" w:hAnsi="Arial" w:cs="Arial"/>
          <w:color w:val="000000" w:themeColor="text1"/>
          <w:szCs w:val="24"/>
          <w:lang w:val="en-US"/>
        </w:rPr>
        <w:t xml:space="preserve">EOG </w:t>
      </w:r>
      <w:r w:rsidR="005F764F" w:rsidRPr="003048F2">
        <w:rPr>
          <w:rFonts w:ascii="Arial" w:hAnsi="Arial" w:cs="Arial"/>
          <w:color w:val="000000" w:themeColor="text1"/>
          <w:szCs w:val="24"/>
          <w:lang w:val="en-US"/>
        </w:rPr>
        <w:t>and</w:t>
      </w:r>
      <w:r w:rsidR="00124AE4" w:rsidRPr="003048F2">
        <w:rPr>
          <w:rFonts w:ascii="Arial" w:hAnsi="Arial" w:cs="Arial"/>
          <w:color w:val="000000" w:themeColor="text1"/>
          <w:szCs w:val="24"/>
          <w:lang w:val="en-US"/>
        </w:rPr>
        <w:t xml:space="preserve"> the Growth Board</w:t>
      </w:r>
      <w:r w:rsidR="00C72963">
        <w:rPr>
          <w:rFonts w:ascii="Arial" w:hAnsi="Arial" w:cs="Arial"/>
          <w:color w:val="000000" w:themeColor="text1"/>
          <w:szCs w:val="24"/>
          <w:lang w:val="en-US"/>
        </w:rPr>
        <w:t>.</w:t>
      </w:r>
    </w:p>
    <w:p w14:paraId="65A855E8" w14:textId="77777777" w:rsidR="003D32FA" w:rsidRDefault="003D32FA" w:rsidP="003048F2">
      <w:pPr>
        <w:pStyle w:val="ReportPara"/>
        <w:numPr>
          <w:ilvl w:val="0"/>
          <w:numId w:val="0"/>
        </w:numPr>
        <w:spacing w:after="0"/>
        <w:ind w:left="851" w:hanging="401"/>
        <w:jc w:val="both"/>
        <w:rPr>
          <w:rFonts w:ascii="Arial" w:hAnsi="Arial" w:cs="Arial"/>
          <w:color w:val="000000" w:themeColor="text1"/>
          <w:szCs w:val="24"/>
          <w:lang w:val="en-US"/>
        </w:rPr>
      </w:pPr>
    </w:p>
    <w:p w14:paraId="05F48A97" w14:textId="3CAC5244" w:rsidR="003D32FA" w:rsidRDefault="005F764F" w:rsidP="004C4B90">
      <w:pPr>
        <w:pStyle w:val="ReportPara"/>
        <w:numPr>
          <w:ilvl w:val="0"/>
          <w:numId w:val="45"/>
        </w:numPr>
        <w:spacing w:after="0"/>
        <w:jc w:val="both"/>
        <w:rPr>
          <w:rFonts w:ascii="Arial" w:hAnsi="Arial" w:cs="Arial"/>
          <w:color w:val="000000" w:themeColor="text1"/>
          <w:szCs w:val="24"/>
          <w:lang w:val="en-US"/>
        </w:rPr>
      </w:pPr>
      <w:r>
        <w:rPr>
          <w:rFonts w:ascii="Arial" w:hAnsi="Arial" w:cs="Arial"/>
          <w:color w:val="000000" w:themeColor="text1"/>
          <w:szCs w:val="24"/>
          <w:lang w:val="en-US"/>
        </w:rPr>
        <w:t>A M</w:t>
      </w:r>
      <w:r w:rsidR="003D32FA">
        <w:rPr>
          <w:rFonts w:ascii="Arial" w:hAnsi="Arial" w:cs="Arial"/>
          <w:color w:val="000000" w:themeColor="text1"/>
          <w:szCs w:val="24"/>
          <w:lang w:val="en-US"/>
        </w:rPr>
        <w:t xml:space="preserve">emorandum of </w:t>
      </w:r>
      <w:r>
        <w:rPr>
          <w:rFonts w:ascii="Arial" w:hAnsi="Arial" w:cs="Arial"/>
          <w:color w:val="000000" w:themeColor="text1"/>
          <w:szCs w:val="24"/>
          <w:lang w:val="en-US"/>
        </w:rPr>
        <w:t xml:space="preserve">Understanding (MOU) </w:t>
      </w:r>
      <w:r w:rsidR="003D32FA">
        <w:rPr>
          <w:rFonts w:ascii="Arial" w:hAnsi="Arial" w:cs="Arial"/>
          <w:color w:val="000000" w:themeColor="text1"/>
          <w:szCs w:val="24"/>
          <w:lang w:val="en-US"/>
        </w:rPr>
        <w:t xml:space="preserve">will be developed in partnership by the </w:t>
      </w:r>
      <w:r w:rsidR="00680436">
        <w:rPr>
          <w:rFonts w:ascii="Arial" w:hAnsi="Arial" w:cs="Arial"/>
          <w:color w:val="000000" w:themeColor="text1"/>
          <w:szCs w:val="24"/>
          <w:lang w:val="en-US"/>
        </w:rPr>
        <w:t xml:space="preserve">Oxfordshire Partners </w:t>
      </w:r>
      <w:r w:rsidR="003D32FA">
        <w:rPr>
          <w:rFonts w:ascii="Arial" w:hAnsi="Arial" w:cs="Arial"/>
          <w:color w:val="000000" w:themeColor="text1"/>
          <w:szCs w:val="24"/>
          <w:lang w:val="en-US"/>
        </w:rPr>
        <w:t xml:space="preserve">participating in the Deal </w:t>
      </w:r>
      <w:r w:rsidR="007E2C0E">
        <w:rPr>
          <w:rFonts w:ascii="Arial" w:hAnsi="Arial" w:cs="Arial"/>
          <w:color w:val="000000" w:themeColor="text1"/>
          <w:szCs w:val="24"/>
          <w:lang w:val="en-US"/>
        </w:rPr>
        <w:t xml:space="preserve">to set out arrangements </w:t>
      </w:r>
      <w:r w:rsidR="00BB6BA2">
        <w:rPr>
          <w:rFonts w:ascii="Arial" w:hAnsi="Arial" w:cs="Arial"/>
          <w:color w:val="000000" w:themeColor="text1"/>
          <w:szCs w:val="24"/>
          <w:lang w:val="en-US"/>
        </w:rPr>
        <w:t>to manage</w:t>
      </w:r>
      <w:r w:rsidR="00680436">
        <w:rPr>
          <w:rFonts w:ascii="Arial" w:hAnsi="Arial" w:cs="Arial"/>
          <w:color w:val="000000" w:themeColor="text1"/>
          <w:szCs w:val="24"/>
          <w:lang w:val="en-US"/>
        </w:rPr>
        <w:t xml:space="preserve"> financial</w:t>
      </w:r>
      <w:r w:rsidR="00BB6BA2">
        <w:rPr>
          <w:rFonts w:ascii="Arial" w:hAnsi="Arial" w:cs="Arial"/>
          <w:color w:val="000000" w:themeColor="text1"/>
          <w:szCs w:val="24"/>
          <w:lang w:val="en-US"/>
        </w:rPr>
        <w:t xml:space="preserve"> risk</w:t>
      </w:r>
      <w:r w:rsidR="00680436">
        <w:rPr>
          <w:rFonts w:ascii="Arial" w:hAnsi="Arial" w:cs="Arial"/>
          <w:color w:val="000000" w:themeColor="text1"/>
          <w:szCs w:val="24"/>
          <w:lang w:val="en-US"/>
        </w:rPr>
        <w:t>s</w:t>
      </w:r>
      <w:r w:rsidR="00BB6BA2">
        <w:rPr>
          <w:rFonts w:ascii="Arial" w:hAnsi="Arial" w:cs="Arial"/>
          <w:color w:val="000000"/>
          <w:lang w:eastAsia="en-US"/>
        </w:rPr>
        <w:t xml:space="preserve">. </w:t>
      </w:r>
      <w:r w:rsidR="007E2C0E">
        <w:rPr>
          <w:rFonts w:ascii="Arial" w:hAnsi="Arial" w:cs="Arial"/>
          <w:color w:val="000000"/>
          <w:lang w:eastAsia="en-US"/>
        </w:rPr>
        <w:t xml:space="preserve">This </w:t>
      </w:r>
      <w:r w:rsidR="00BB6BA2">
        <w:rPr>
          <w:rFonts w:ascii="Arial" w:hAnsi="Arial" w:cs="Arial"/>
          <w:color w:val="000000"/>
          <w:lang w:eastAsia="en-US"/>
        </w:rPr>
        <w:t xml:space="preserve">MOU </w:t>
      </w:r>
      <w:r w:rsidR="007E2C0E">
        <w:rPr>
          <w:rFonts w:ascii="Arial" w:hAnsi="Arial" w:cs="Arial"/>
          <w:color w:val="000000"/>
          <w:lang w:eastAsia="en-US"/>
        </w:rPr>
        <w:t>will be in place by 31 March 2018</w:t>
      </w:r>
      <w:r w:rsidR="00B967CE">
        <w:rPr>
          <w:rFonts w:ascii="Arial" w:hAnsi="Arial" w:cs="Arial"/>
          <w:color w:val="000000"/>
          <w:lang w:eastAsia="en-US"/>
        </w:rPr>
        <w:t>,</w:t>
      </w:r>
      <w:r w:rsidR="007E2C0E">
        <w:rPr>
          <w:rFonts w:ascii="Arial" w:hAnsi="Arial" w:cs="Arial"/>
          <w:color w:val="000000"/>
          <w:lang w:eastAsia="en-US"/>
        </w:rPr>
        <w:t xml:space="preserve"> before </w:t>
      </w:r>
      <w:r w:rsidR="00A91BD5">
        <w:rPr>
          <w:rFonts w:ascii="Arial" w:hAnsi="Arial" w:cs="Arial"/>
          <w:color w:val="000000"/>
          <w:lang w:eastAsia="en-US"/>
        </w:rPr>
        <w:t xml:space="preserve">we receive </w:t>
      </w:r>
      <w:r w:rsidR="007E2C0E">
        <w:rPr>
          <w:rFonts w:ascii="Arial" w:hAnsi="Arial" w:cs="Arial"/>
          <w:color w:val="000000"/>
          <w:lang w:eastAsia="en-US"/>
        </w:rPr>
        <w:t>the first tranche</w:t>
      </w:r>
      <w:r w:rsidR="00B967CE">
        <w:rPr>
          <w:rFonts w:ascii="Arial" w:hAnsi="Arial" w:cs="Arial"/>
          <w:color w:val="000000"/>
          <w:lang w:eastAsia="en-US"/>
        </w:rPr>
        <w:t>s</w:t>
      </w:r>
      <w:r w:rsidR="007E2C0E">
        <w:rPr>
          <w:rFonts w:ascii="Arial" w:hAnsi="Arial" w:cs="Arial"/>
          <w:color w:val="000000"/>
          <w:lang w:eastAsia="en-US"/>
        </w:rPr>
        <w:t xml:space="preserve"> of funding for </w:t>
      </w:r>
      <w:r w:rsidR="00A91BD5">
        <w:rPr>
          <w:rFonts w:ascii="Arial" w:hAnsi="Arial" w:cs="Arial"/>
          <w:color w:val="000000"/>
          <w:lang w:eastAsia="en-US"/>
        </w:rPr>
        <w:t xml:space="preserve">the </w:t>
      </w:r>
      <w:r w:rsidR="007E2C0E">
        <w:rPr>
          <w:rFonts w:ascii="Arial" w:hAnsi="Arial" w:cs="Arial"/>
          <w:color w:val="000000"/>
          <w:lang w:eastAsia="en-US"/>
        </w:rPr>
        <w:t>infrastructure and affordable housing programmes</w:t>
      </w:r>
      <w:r w:rsidR="00A91BD5">
        <w:rPr>
          <w:rFonts w:ascii="Arial" w:hAnsi="Arial" w:cs="Arial"/>
          <w:color w:val="000000"/>
          <w:lang w:eastAsia="en-US"/>
        </w:rPr>
        <w:t>.</w:t>
      </w:r>
      <w:r w:rsidR="007E2C0E">
        <w:rPr>
          <w:rFonts w:ascii="Arial" w:hAnsi="Arial" w:cs="Arial"/>
          <w:color w:val="000000"/>
          <w:lang w:eastAsia="en-US"/>
        </w:rPr>
        <w:t xml:space="preserve"> </w:t>
      </w:r>
    </w:p>
    <w:p w14:paraId="06C39FE6" w14:textId="77777777" w:rsidR="003F3DC5" w:rsidRPr="003048F2" w:rsidRDefault="003F3DC5" w:rsidP="003048F2">
      <w:pPr>
        <w:pStyle w:val="ReportPara"/>
        <w:numPr>
          <w:ilvl w:val="0"/>
          <w:numId w:val="0"/>
        </w:numPr>
        <w:spacing w:after="0"/>
        <w:ind w:left="851" w:hanging="401"/>
        <w:jc w:val="both"/>
        <w:rPr>
          <w:rFonts w:ascii="Arial" w:hAnsi="Arial" w:cs="Arial"/>
          <w:szCs w:val="24"/>
        </w:rPr>
      </w:pPr>
    </w:p>
    <w:p w14:paraId="19D9E6EA" w14:textId="759BD989" w:rsidR="008B279A" w:rsidRDefault="00BB6BA2" w:rsidP="004C4B90">
      <w:pPr>
        <w:pStyle w:val="ReportPara"/>
        <w:numPr>
          <w:ilvl w:val="0"/>
          <w:numId w:val="0"/>
        </w:numPr>
        <w:spacing w:after="0"/>
        <w:jc w:val="both"/>
        <w:rPr>
          <w:rFonts w:ascii="Arial" w:hAnsi="Arial" w:cs="Arial"/>
          <w:b/>
          <w:szCs w:val="24"/>
        </w:rPr>
      </w:pPr>
      <w:r w:rsidRPr="00BB6BA2">
        <w:rPr>
          <w:rFonts w:ascii="Arial" w:hAnsi="Arial" w:cs="Arial"/>
          <w:b/>
          <w:szCs w:val="24"/>
        </w:rPr>
        <w:t>CONCLUSION</w:t>
      </w:r>
    </w:p>
    <w:p w14:paraId="76F558C6" w14:textId="77777777" w:rsidR="00BB6BA2" w:rsidRDefault="00BB6BA2" w:rsidP="003048F2">
      <w:pPr>
        <w:pStyle w:val="ReportPara"/>
        <w:numPr>
          <w:ilvl w:val="0"/>
          <w:numId w:val="0"/>
        </w:numPr>
        <w:spacing w:after="0"/>
        <w:ind w:left="360"/>
        <w:jc w:val="both"/>
        <w:rPr>
          <w:rFonts w:ascii="Arial" w:hAnsi="Arial" w:cs="Arial"/>
          <w:b/>
          <w:szCs w:val="24"/>
        </w:rPr>
      </w:pPr>
    </w:p>
    <w:p w14:paraId="654FD2EF" w14:textId="1F2A9F57" w:rsidR="00CA4ECE" w:rsidRDefault="00CA4ECE" w:rsidP="004C4B90">
      <w:pPr>
        <w:pStyle w:val="ReportPara"/>
        <w:numPr>
          <w:ilvl w:val="0"/>
          <w:numId w:val="45"/>
        </w:numPr>
        <w:spacing w:after="0"/>
        <w:jc w:val="both"/>
        <w:rPr>
          <w:rFonts w:ascii="Arial" w:hAnsi="Arial" w:cs="Arial"/>
          <w:szCs w:val="24"/>
        </w:rPr>
      </w:pPr>
      <w:r w:rsidRPr="00CA4ECE">
        <w:rPr>
          <w:rFonts w:ascii="Arial" w:hAnsi="Arial" w:cs="Arial"/>
          <w:szCs w:val="24"/>
        </w:rPr>
        <w:t xml:space="preserve">The Oxfordshire Housing and </w:t>
      </w:r>
      <w:r>
        <w:rPr>
          <w:rFonts w:ascii="Arial" w:hAnsi="Arial" w:cs="Arial"/>
          <w:szCs w:val="24"/>
        </w:rPr>
        <w:t>G</w:t>
      </w:r>
      <w:r w:rsidRPr="00CA4ECE">
        <w:rPr>
          <w:rFonts w:ascii="Arial" w:hAnsi="Arial" w:cs="Arial"/>
          <w:szCs w:val="24"/>
        </w:rPr>
        <w:t xml:space="preserve">rowth Deal is the result of several months of negotiation with </w:t>
      </w:r>
      <w:r>
        <w:rPr>
          <w:rFonts w:ascii="Arial" w:hAnsi="Arial" w:cs="Arial"/>
          <w:szCs w:val="24"/>
        </w:rPr>
        <w:t>G</w:t>
      </w:r>
      <w:r w:rsidRPr="00CA4ECE">
        <w:rPr>
          <w:rFonts w:ascii="Arial" w:hAnsi="Arial" w:cs="Arial"/>
          <w:szCs w:val="24"/>
        </w:rPr>
        <w:t>overnment</w:t>
      </w:r>
      <w:r>
        <w:rPr>
          <w:rFonts w:ascii="Arial" w:hAnsi="Arial" w:cs="Arial"/>
          <w:szCs w:val="24"/>
        </w:rPr>
        <w:t xml:space="preserve">, </w:t>
      </w:r>
      <w:r w:rsidRPr="00CA4ECE">
        <w:rPr>
          <w:rFonts w:ascii="Arial" w:hAnsi="Arial" w:cs="Arial"/>
          <w:szCs w:val="24"/>
        </w:rPr>
        <w:t>result</w:t>
      </w:r>
      <w:r>
        <w:rPr>
          <w:rFonts w:ascii="Arial" w:hAnsi="Arial" w:cs="Arial"/>
          <w:szCs w:val="24"/>
        </w:rPr>
        <w:t>ing</w:t>
      </w:r>
      <w:r w:rsidRPr="00CA4ECE">
        <w:rPr>
          <w:rFonts w:ascii="Arial" w:hAnsi="Arial" w:cs="Arial"/>
          <w:szCs w:val="24"/>
        </w:rPr>
        <w:t xml:space="preserve"> in the commitment </w:t>
      </w:r>
      <w:r w:rsidR="00B967CE">
        <w:rPr>
          <w:rFonts w:ascii="Arial" w:hAnsi="Arial" w:cs="Arial"/>
          <w:szCs w:val="24"/>
        </w:rPr>
        <w:t xml:space="preserve">from them </w:t>
      </w:r>
      <w:r w:rsidRPr="00CA4ECE">
        <w:rPr>
          <w:rFonts w:ascii="Arial" w:hAnsi="Arial" w:cs="Arial"/>
          <w:szCs w:val="24"/>
        </w:rPr>
        <w:t xml:space="preserve">of significant additional funds for housing and infrastructure </w:t>
      </w:r>
      <w:r>
        <w:rPr>
          <w:rFonts w:ascii="Arial" w:hAnsi="Arial" w:cs="Arial"/>
          <w:szCs w:val="24"/>
        </w:rPr>
        <w:t>fo</w:t>
      </w:r>
      <w:r w:rsidRPr="00CA4ECE">
        <w:rPr>
          <w:rFonts w:ascii="Arial" w:hAnsi="Arial" w:cs="Arial"/>
          <w:szCs w:val="24"/>
        </w:rPr>
        <w:t>r the county, tied to the agreement of a series of delivery mi</w:t>
      </w:r>
      <w:r>
        <w:rPr>
          <w:rFonts w:ascii="Arial" w:hAnsi="Arial" w:cs="Arial"/>
          <w:szCs w:val="24"/>
        </w:rPr>
        <w:t>l</w:t>
      </w:r>
      <w:r w:rsidRPr="00CA4ECE">
        <w:rPr>
          <w:rFonts w:ascii="Arial" w:hAnsi="Arial" w:cs="Arial"/>
          <w:szCs w:val="24"/>
        </w:rPr>
        <w:t>est</w:t>
      </w:r>
      <w:r>
        <w:rPr>
          <w:rFonts w:ascii="Arial" w:hAnsi="Arial" w:cs="Arial"/>
          <w:szCs w:val="24"/>
        </w:rPr>
        <w:t>ones</w:t>
      </w:r>
      <w:r w:rsidRPr="00CA4ECE">
        <w:rPr>
          <w:rFonts w:ascii="Arial" w:hAnsi="Arial" w:cs="Arial"/>
          <w:szCs w:val="24"/>
        </w:rPr>
        <w:t xml:space="preserve"> b</w:t>
      </w:r>
      <w:r>
        <w:rPr>
          <w:rFonts w:ascii="Arial" w:hAnsi="Arial" w:cs="Arial"/>
          <w:szCs w:val="24"/>
        </w:rPr>
        <w:t>y</w:t>
      </w:r>
      <w:r w:rsidRPr="00CA4ECE">
        <w:rPr>
          <w:rFonts w:ascii="Arial" w:hAnsi="Arial" w:cs="Arial"/>
          <w:szCs w:val="24"/>
        </w:rPr>
        <w:t xml:space="preserve"> the Oxfordshire partners</w:t>
      </w:r>
      <w:r>
        <w:rPr>
          <w:rFonts w:ascii="Arial" w:hAnsi="Arial" w:cs="Arial"/>
          <w:szCs w:val="24"/>
        </w:rPr>
        <w:t>.</w:t>
      </w:r>
    </w:p>
    <w:p w14:paraId="5EDC9760" w14:textId="77777777" w:rsidR="00CA4ECE" w:rsidRDefault="00CA4ECE" w:rsidP="003048F2">
      <w:pPr>
        <w:pStyle w:val="ReportPara"/>
        <w:numPr>
          <w:ilvl w:val="0"/>
          <w:numId w:val="0"/>
        </w:numPr>
        <w:spacing w:after="0"/>
        <w:ind w:left="360"/>
        <w:jc w:val="both"/>
        <w:rPr>
          <w:rFonts w:ascii="Arial" w:hAnsi="Arial" w:cs="Arial"/>
          <w:szCs w:val="24"/>
        </w:rPr>
      </w:pPr>
    </w:p>
    <w:p w14:paraId="3D5B9572" w14:textId="0F692315" w:rsidR="00BB6BA2" w:rsidRPr="00CA4ECE" w:rsidRDefault="00CA4ECE" w:rsidP="004C4B90">
      <w:pPr>
        <w:pStyle w:val="ReportPara"/>
        <w:numPr>
          <w:ilvl w:val="0"/>
          <w:numId w:val="45"/>
        </w:numPr>
        <w:spacing w:after="0"/>
        <w:jc w:val="both"/>
        <w:rPr>
          <w:rFonts w:ascii="Arial" w:hAnsi="Arial" w:cs="Arial"/>
          <w:szCs w:val="24"/>
        </w:rPr>
      </w:pPr>
      <w:r>
        <w:rPr>
          <w:rFonts w:ascii="Arial" w:hAnsi="Arial" w:cs="Arial"/>
          <w:szCs w:val="24"/>
        </w:rPr>
        <w:t xml:space="preserve">This report asks the </w:t>
      </w:r>
      <w:r w:rsidR="008E60CD">
        <w:rPr>
          <w:rFonts w:ascii="Arial" w:hAnsi="Arial" w:cs="Arial"/>
          <w:szCs w:val="24"/>
        </w:rPr>
        <w:t xml:space="preserve">Growth </w:t>
      </w:r>
      <w:r>
        <w:rPr>
          <w:rFonts w:ascii="Arial" w:hAnsi="Arial" w:cs="Arial"/>
          <w:szCs w:val="24"/>
        </w:rPr>
        <w:t>Board to con</w:t>
      </w:r>
      <w:r w:rsidR="008E60CD">
        <w:rPr>
          <w:rFonts w:ascii="Arial" w:hAnsi="Arial" w:cs="Arial"/>
          <w:szCs w:val="24"/>
        </w:rPr>
        <w:t>sider the D</w:t>
      </w:r>
      <w:r>
        <w:rPr>
          <w:rFonts w:ascii="Arial" w:hAnsi="Arial" w:cs="Arial"/>
          <w:szCs w:val="24"/>
        </w:rPr>
        <w:t xml:space="preserve">eal, acknowledge the key role of the </w:t>
      </w:r>
      <w:r w:rsidR="008E60CD">
        <w:rPr>
          <w:rFonts w:ascii="Arial" w:hAnsi="Arial" w:cs="Arial"/>
          <w:szCs w:val="24"/>
        </w:rPr>
        <w:t xml:space="preserve">Growth </w:t>
      </w:r>
      <w:r>
        <w:rPr>
          <w:rFonts w:ascii="Arial" w:hAnsi="Arial" w:cs="Arial"/>
          <w:szCs w:val="24"/>
        </w:rPr>
        <w:t>Board in its delivery, endorse the Deal proposals</w:t>
      </w:r>
      <w:r w:rsidR="00DA164F">
        <w:rPr>
          <w:rFonts w:ascii="Arial" w:hAnsi="Arial" w:cs="Arial"/>
          <w:szCs w:val="24"/>
        </w:rPr>
        <w:t>,</w:t>
      </w:r>
      <w:r w:rsidRPr="00CA4ECE">
        <w:rPr>
          <w:rFonts w:ascii="Arial" w:hAnsi="Arial" w:cs="Arial"/>
          <w:szCs w:val="24"/>
        </w:rPr>
        <w:t xml:space="preserve"> </w:t>
      </w:r>
      <w:r>
        <w:rPr>
          <w:rFonts w:ascii="Arial" w:hAnsi="Arial" w:cs="Arial"/>
          <w:szCs w:val="24"/>
        </w:rPr>
        <w:t xml:space="preserve">and </w:t>
      </w:r>
      <w:r w:rsidR="00E069D4">
        <w:rPr>
          <w:rFonts w:ascii="Arial" w:hAnsi="Arial" w:cs="Arial"/>
          <w:szCs w:val="24"/>
        </w:rPr>
        <w:t xml:space="preserve">recommend to </w:t>
      </w:r>
      <w:r>
        <w:rPr>
          <w:rFonts w:ascii="Arial" w:hAnsi="Arial" w:cs="Arial"/>
          <w:szCs w:val="24"/>
        </w:rPr>
        <w:t xml:space="preserve">the Oxfordshire </w:t>
      </w:r>
      <w:r w:rsidR="008E60CD">
        <w:rPr>
          <w:rFonts w:ascii="Arial" w:hAnsi="Arial" w:cs="Arial"/>
          <w:szCs w:val="24"/>
        </w:rPr>
        <w:t>P</w:t>
      </w:r>
      <w:r>
        <w:rPr>
          <w:rFonts w:ascii="Arial" w:hAnsi="Arial" w:cs="Arial"/>
          <w:szCs w:val="24"/>
        </w:rPr>
        <w:t xml:space="preserve">artners </w:t>
      </w:r>
      <w:r w:rsidR="00E069D4">
        <w:rPr>
          <w:rFonts w:ascii="Arial" w:hAnsi="Arial" w:cs="Arial"/>
          <w:szCs w:val="24"/>
        </w:rPr>
        <w:t xml:space="preserve">that they </w:t>
      </w:r>
      <w:r>
        <w:rPr>
          <w:rFonts w:ascii="Arial" w:hAnsi="Arial" w:cs="Arial"/>
          <w:szCs w:val="24"/>
        </w:rPr>
        <w:t>approve the Deal.</w:t>
      </w:r>
    </w:p>
    <w:sectPr w:rsidR="00BB6BA2" w:rsidRPr="00CA4ECE" w:rsidSect="005B06A6">
      <w:headerReference w:type="default" r:id="rId9"/>
      <w:type w:val="continuous"/>
      <w:pgSz w:w="12240" w:h="15840" w:code="1"/>
      <w:pgMar w:top="864" w:right="1152" w:bottom="284" w:left="1152" w:header="576"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AB5E7E" w15:done="0"/>
  <w15:commentEx w15:paraId="7954EF2C" w15:done="0"/>
  <w15:commentEx w15:paraId="4A685E4C" w15:done="0"/>
  <w15:commentEx w15:paraId="20F6786E" w15:done="0"/>
  <w15:commentEx w15:paraId="2A76E03D" w15:done="0"/>
  <w15:commentEx w15:paraId="2D855A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AFF59" w14:textId="77777777" w:rsidR="00593B98" w:rsidRDefault="00593B98">
      <w:r>
        <w:separator/>
      </w:r>
    </w:p>
  </w:endnote>
  <w:endnote w:type="continuationSeparator" w:id="0">
    <w:p w14:paraId="2F6252EE" w14:textId="77777777" w:rsidR="00593B98" w:rsidRDefault="0059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53E7" w14:textId="77777777" w:rsidR="00593B98" w:rsidRDefault="00593B98">
      <w:r>
        <w:separator/>
      </w:r>
    </w:p>
  </w:footnote>
  <w:footnote w:type="continuationSeparator" w:id="0">
    <w:p w14:paraId="02243999" w14:textId="77777777" w:rsidR="00593B98" w:rsidRDefault="0059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ACE7" w14:textId="02B21603" w:rsidR="00593B98" w:rsidRPr="00B713AE" w:rsidRDefault="00593B98" w:rsidP="00B713AE">
    <w:pPr>
      <w:pStyle w:val="Header"/>
      <w:rPr>
        <w:sz w:val="18"/>
        <w:szCs w:val="18"/>
      </w:rPr>
    </w:pPr>
    <w:r w:rsidRPr="00B713AE">
      <w:rPr>
        <w:sz w:val="18"/>
        <w:szCs w:val="18"/>
      </w:rPr>
      <w:t>Growth Board 1st February 2018</w:t>
    </w:r>
  </w:p>
  <w:p w14:paraId="76E9EAC3" w14:textId="1CA25408" w:rsidR="00593B98" w:rsidRPr="00B713AE" w:rsidRDefault="00593B98" w:rsidP="00B713AE">
    <w:pPr>
      <w:pStyle w:val="Header"/>
      <w:rPr>
        <w:sz w:val="18"/>
        <w:szCs w:val="18"/>
      </w:rPr>
    </w:pPr>
    <w:r w:rsidRPr="00B713AE">
      <w:rPr>
        <w:sz w:val="18"/>
        <w:szCs w:val="18"/>
      </w:rPr>
      <w:t xml:space="preserve">Agenda item </w:t>
    </w:r>
    <w:r>
      <w:rPr>
        <w:sz w:val="18"/>
        <w:szCs w:val="18"/>
      </w:rPr>
      <w:t>–</w:t>
    </w:r>
    <w:r w:rsidRPr="00B713AE">
      <w:rPr>
        <w:sz w:val="18"/>
        <w:szCs w:val="18"/>
      </w:rPr>
      <w:t xml:space="preserve"> </w:t>
    </w:r>
    <w:r>
      <w:rPr>
        <w:sz w:val="18"/>
        <w:szCs w:val="18"/>
      </w:rPr>
      <w:t>Oxfordshire Housing and Growth Deal</w:t>
    </w:r>
  </w:p>
  <w:p w14:paraId="06E03AAC" w14:textId="7EBB0676" w:rsidR="00593B98" w:rsidRPr="00B713AE" w:rsidRDefault="00593B98" w:rsidP="00B713AE">
    <w:pPr>
      <w:pStyle w:val="Header"/>
      <w:rPr>
        <w:sz w:val="18"/>
        <w:szCs w:val="18"/>
      </w:rPr>
    </w:pPr>
    <w:r w:rsidRPr="00B713AE">
      <w:rPr>
        <w:sz w:val="18"/>
        <w:szCs w:val="18"/>
      </w:rPr>
      <w:t xml:space="preserve">Contact: </w:t>
    </w:r>
    <w:r>
      <w:rPr>
        <w:sz w:val="18"/>
        <w:szCs w:val="18"/>
      </w:rPr>
      <w:t>Caroline Green Assistant Chief Executive: Oxford City Council</w:t>
    </w:r>
    <w:r w:rsidRPr="00B713AE">
      <w:rPr>
        <w:sz w:val="18"/>
        <w:szCs w:val="18"/>
      </w:rPr>
      <w:t xml:space="preserve"> </w:t>
    </w:r>
  </w:p>
  <w:p w14:paraId="530A8288" w14:textId="756C2E24" w:rsidR="00593B98" w:rsidRPr="00B713AE" w:rsidRDefault="00593B98" w:rsidP="00B713AE">
    <w:pPr>
      <w:pStyle w:val="Header"/>
      <w:rPr>
        <w:sz w:val="18"/>
        <w:szCs w:val="18"/>
      </w:rPr>
    </w:pPr>
    <w:r w:rsidRPr="00B713AE">
      <w:rPr>
        <w:sz w:val="18"/>
        <w:szCs w:val="18"/>
      </w:rPr>
      <w:t xml:space="preserve">E- mail: </w:t>
    </w:r>
    <w:r>
      <w:rPr>
        <w:sz w:val="18"/>
        <w:szCs w:val="18"/>
      </w:rPr>
      <w:t>cgreen</w:t>
    </w:r>
    <w:r w:rsidRPr="00B713AE">
      <w:rPr>
        <w:sz w:val="18"/>
        <w:szCs w:val="18"/>
      </w:rPr>
      <w:t>@oxford.gov.uk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0B0"/>
    <w:multiLevelType w:val="multilevel"/>
    <w:tmpl w:val="13726D3A"/>
    <w:lvl w:ilvl="0">
      <w:start w:val="1"/>
      <w:numFmt w:val="decimal"/>
      <w:pStyle w:val="Heading1"/>
      <w:lvlText w:val="%1."/>
      <w:lvlJc w:val="left"/>
      <w:pPr>
        <w:tabs>
          <w:tab w:val="num" w:pos="360"/>
        </w:tabs>
        <w:ind w:left="360" w:hanging="360"/>
      </w:pPr>
    </w:lvl>
    <w:lvl w:ilvl="1">
      <w:start w:val="1"/>
      <w:numFmt w:val="decimal"/>
      <w:pStyle w:val="ReportPara"/>
      <w:lvlText w:val="%1.%2."/>
      <w:lvlJc w:val="left"/>
      <w:pPr>
        <w:tabs>
          <w:tab w:val="num" w:pos="1142"/>
        </w:tabs>
        <w:ind w:left="114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97E4DBB"/>
    <w:multiLevelType w:val="multilevel"/>
    <w:tmpl w:val="8F38F51C"/>
    <w:lvl w:ilvl="0">
      <w:start w:val="3"/>
      <w:numFmt w:val="decimal"/>
      <w:lvlText w:val="%1"/>
      <w:lvlJc w:val="left"/>
      <w:pPr>
        <w:ind w:left="465" w:hanging="465"/>
      </w:pPr>
      <w:rPr>
        <w:rFonts w:hint="default"/>
      </w:rPr>
    </w:lvl>
    <w:lvl w:ilvl="1">
      <w:start w:val="25"/>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0C525092"/>
    <w:multiLevelType w:val="multilevel"/>
    <w:tmpl w:val="0809001F"/>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rPr>
        <w:color w:val="auto"/>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0D4F3A34"/>
    <w:multiLevelType w:val="hybridMultilevel"/>
    <w:tmpl w:val="3B0825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940B3"/>
    <w:multiLevelType w:val="hybridMultilevel"/>
    <w:tmpl w:val="B152468A"/>
    <w:lvl w:ilvl="0" w:tplc="08090001">
      <w:start w:val="1"/>
      <w:numFmt w:val="bullet"/>
      <w:lvlText w:val=""/>
      <w:lvlJc w:val="left"/>
      <w:pPr>
        <w:ind w:left="1862" w:hanging="360"/>
      </w:pPr>
      <w:rPr>
        <w:rFonts w:ascii="Symbol" w:hAnsi="Symbol" w:hint="default"/>
      </w:rPr>
    </w:lvl>
    <w:lvl w:ilvl="1" w:tplc="08090003" w:tentative="1">
      <w:start w:val="1"/>
      <w:numFmt w:val="bullet"/>
      <w:lvlText w:val="o"/>
      <w:lvlJc w:val="left"/>
      <w:pPr>
        <w:ind w:left="2582" w:hanging="360"/>
      </w:pPr>
      <w:rPr>
        <w:rFonts w:ascii="Courier New" w:hAnsi="Courier New" w:cs="Courier New" w:hint="default"/>
      </w:rPr>
    </w:lvl>
    <w:lvl w:ilvl="2" w:tplc="08090005" w:tentative="1">
      <w:start w:val="1"/>
      <w:numFmt w:val="bullet"/>
      <w:lvlText w:val=""/>
      <w:lvlJc w:val="left"/>
      <w:pPr>
        <w:ind w:left="3302" w:hanging="360"/>
      </w:pPr>
      <w:rPr>
        <w:rFonts w:ascii="Wingdings" w:hAnsi="Wingdings" w:hint="default"/>
      </w:rPr>
    </w:lvl>
    <w:lvl w:ilvl="3" w:tplc="08090001" w:tentative="1">
      <w:start w:val="1"/>
      <w:numFmt w:val="bullet"/>
      <w:lvlText w:val=""/>
      <w:lvlJc w:val="left"/>
      <w:pPr>
        <w:ind w:left="4022" w:hanging="360"/>
      </w:pPr>
      <w:rPr>
        <w:rFonts w:ascii="Symbol" w:hAnsi="Symbol" w:hint="default"/>
      </w:rPr>
    </w:lvl>
    <w:lvl w:ilvl="4" w:tplc="08090003" w:tentative="1">
      <w:start w:val="1"/>
      <w:numFmt w:val="bullet"/>
      <w:lvlText w:val="o"/>
      <w:lvlJc w:val="left"/>
      <w:pPr>
        <w:ind w:left="4742" w:hanging="360"/>
      </w:pPr>
      <w:rPr>
        <w:rFonts w:ascii="Courier New" w:hAnsi="Courier New" w:cs="Courier New" w:hint="default"/>
      </w:rPr>
    </w:lvl>
    <w:lvl w:ilvl="5" w:tplc="08090005" w:tentative="1">
      <w:start w:val="1"/>
      <w:numFmt w:val="bullet"/>
      <w:lvlText w:val=""/>
      <w:lvlJc w:val="left"/>
      <w:pPr>
        <w:ind w:left="5462" w:hanging="360"/>
      </w:pPr>
      <w:rPr>
        <w:rFonts w:ascii="Wingdings" w:hAnsi="Wingdings" w:hint="default"/>
      </w:rPr>
    </w:lvl>
    <w:lvl w:ilvl="6" w:tplc="08090001" w:tentative="1">
      <w:start w:val="1"/>
      <w:numFmt w:val="bullet"/>
      <w:lvlText w:val=""/>
      <w:lvlJc w:val="left"/>
      <w:pPr>
        <w:ind w:left="6182" w:hanging="360"/>
      </w:pPr>
      <w:rPr>
        <w:rFonts w:ascii="Symbol" w:hAnsi="Symbol" w:hint="default"/>
      </w:rPr>
    </w:lvl>
    <w:lvl w:ilvl="7" w:tplc="08090003" w:tentative="1">
      <w:start w:val="1"/>
      <w:numFmt w:val="bullet"/>
      <w:lvlText w:val="o"/>
      <w:lvlJc w:val="left"/>
      <w:pPr>
        <w:ind w:left="6902" w:hanging="360"/>
      </w:pPr>
      <w:rPr>
        <w:rFonts w:ascii="Courier New" w:hAnsi="Courier New" w:cs="Courier New" w:hint="default"/>
      </w:rPr>
    </w:lvl>
    <w:lvl w:ilvl="8" w:tplc="08090005" w:tentative="1">
      <w:start w:val="1"/>
      <w:numFmt w:val="bullet"/>
      <w:lvlText w:val=""/>
      <w:lvlJc w:val="left"/>
      <w:pPr>
        <w:ind w:left="7622" w:hanging="360"/>
      </w:pPr>
      <w:rPr>
        <w:rFonts w:ascii="Wingdings" w:hAnsi="Wingdings" w:hint="default"/>
      </w:rPr>
    </w:lvl>
  </w:abstractNum>
  <w:abstractNum w:abstractNumId="5">
    <w:nsid w:val="11C01335"/>
    <w:multiLevelType w:val="multilevel"/>
    <w:tmpl w:val="3126D64A"/>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7C8563C"/>
    <w:multiLevelType w:val="multilevel"/>
    <w:tmpl w:val="1B18DF90"/>
    <w:lvl w:ilvl="0">
      <w:start w:val="3"/>
      <w:numFmt w:val="decimal"/>
      <w:lvlText w:val="%1"/>
      <w:lvlJc w:val="left"/>
      <w:pPr>
        <w:ind w:left="465" w:hanging="465"/>
      </w:pPr>
      <w:rPr>
        <w:rFonts w:hint="default"/>
      </w:rPr>
    </w:lvl>
    <w:lvl w:ilvl="1">
      <w:start w:val="35"/>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nsid w:val="2EDE2D09"/>
    <w:multiLevelType w:val="multilevel"/>
    <w:tmpl w:val="CC6029D0"/>
    <w:lvl w:ilvl="0">
      <w:start w:val="1"/>
      <w:numFmt w:val="bullet"/>
      <w:lvlText w:val=""/>
      <w:lvlJc w:val="left"/>
      <w:pPr>
        <w:ind w:left="1152" w:hanging="432"/>
      </w:pPr>
      <w:rPr>
        <w:rFonts w:ascii="Symbol" w:hAnsi="Symbol"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nsid w:val="32D55C9C"/>
    <w:multiLevelType w:val="hybridMultilevel"/>
    <w:tmpl w:val="6CF6B2C6"/>
    <w:lvl w:ilvl="0" w:tplc="7136BE5E">
      <w:start w:val="1"/>
      <w:numFmt w:val="lowerLetter"/>
      <w:lvlText w:val="(%1)"/>
      <w:lvlJc w:val="left"/>
      <w:pPr>
        <w:tabs>
          <w:tab w:val="num" w:pos="2016"/>
        </w:tabs>
        <w:ind w:left="2016" w:hanging="360"/>
      </w:pPr>
      <w:rPr>
        <w:rFonts w:ascii="Gill Sans MT" w:hAnsi="Gill Sans MT" w:hint="default"/>
        <w:b w:val="0"/>
        <w:i w:val="0"/>
        <w:sz w:val="24"/>
        <w:szCs w:val="24"/>
      </w:rPr>
    </w:lvl>
    <w:lvl w:ilvl="1" w:tplc="DBD8AEE0">
      <w:numFmt w:val="bullet"/>
      <w:lvlText w:val="•"/>
      <w:lvlJc w:val="left"/>
      <w:pPr>
        <w:ind w:left="1440" w:hanging="360"/>
      </w:pPr>
      <w:rPr>
        <w:rFonts w:ascii="Gill Sans MT" w:eastAsia="Times New Roman" w:hAnsi="Gill Sans MT"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62D66E1"/>
    <w:multiLevelType w:val="multilevel"/>
    <w:tmpl w:val="BFA0F454"/>
    <w:lvl w:ilvl="0">
      <w:start w:val="3"/>
      <w:numFmt w:val="decimal"/>
      <w:lvlText w:val="%1"/>
      <w:lvlJc w:val="left"/>
      <w:pPr>
        <w:ind w:left="465" w:hanging="465"/>
      </w:pPr>
      <w:rPr>
        <w:rFonts w:hint="default"/>
        <w:color w:val="000000" w:themeColor="text1"/>
      </w:rPr>
    </w:lvl>
    <w:lvl w:ilvl="1">
      <w:start w:val="34"/>
      <w:numFmt w:val="decimal"/>
      <w:lvlText w:val="%1.%2"/>
      <w:lvlJc w:val="left"/>
      <w:pPr>
        <w:ind w:left="1175" w:hanging="46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480" w:hanging="1800"/>
      </w:pPr>
      <w:rPr>
        <w:rFonts w:hint="default"/>
        <w:color w:val="000000" w:themeColor="text1"/>
      </w:rPr>
    </w:lvl>
  </w:abstractNum>
  <w:abstractNum w:abstractNumId="10">
    <w:nsid w:val="4F8B56C7"/>
    <w:multiLevelType w:val="hybridMultilevel"/>
    <w:tmpl w:val="A6EE69F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1">
    <w:nsid w:val="5008099C"/>
    <w:multiLevelType w:val="hybridMultilevel"/>
    <w:tmpl w:val="B15A75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92493"/>
    <w:multiLevelType w:val="multilevel"/>
    <w:tmpl w:val="97C839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5E14FEC"/>
    <w:multiLevelType w:val="multilevel"/>
    <w:tmpl w:val="C2C0B5CA"/>
    <w:lvl w:ilvl="0">
      <w:start w:val="4"/>
      <w:numFmt w:val="decimal"/>
      <w:lvlText w:val="%1"/>
      <w:lvlJc w:val="left"/>
      <w:pPr>
        <w:ind w:left="810" w:hanging="360"/>
      </w:pPr>
      <w:rPr>
        <w:rFonts w:hint="default"/>
      </w:rPr>
    </w:lvl>
    <w:lvl w:ilvl="1">
      <w:start w:val="1"/>
      <w:numFmt w:val="decimal"/>
      <w:lvlText w:val="%1.%2"/>
      <w:lvlJc w:val="left"/>
      <w:pPr>
        <w:ind w:left="2034" w:hanging="360"/>
      </w:pPr>
      <w:rPr>
        <w:rFonts w:hint="default"/>
      </w:rPr>
    </w:lvl>
    <w:lvl w:ilvl="2">
      <w:start w:val="1"/>
      <w:numFmt w:val="decimal"/>
      <w:lvlText w:val="%1.%2.%3"/>
      <w:lvlJc w:val="left"/>
      <w:pPr>
        <w:ind w:left="3618" w:hanging="720"/>
      </w:pPr>
      <w:rPr>
        <w:rFonts w:hint="default"/>
      </w:rPr>
    </w:lvl>
    <w:lvl w:ilvl="3">
      <w:start w:val="1"/>
      <w:numFmt w:val="decimal"/>
      <w:lvlText w:val="%1.%2.%3.%4"/>
      <w:lvlJc w:val="left"/>
      <w:pPr>
        <w:ind w:left="5202" w:hanging="1080"/>
      </w:pPr>
      <w:rPr>
        <w:rFonts w:hint="default"/>
      </w:rPr>
    </w:lvl>
    <w:lvl w:ilvl="4">
      <w:start w:val="1"/>
      <w:numFmt w:val="decimal"/>
      <w:lvlText w:val="%1.%2.%3.%4.%5"/>
      <w:lvlJc w:val="left"/>
      <w:pPr>
        <w:ind w:left="6426" w:hanging="1080"/>
      </w:pPr>
      <w:rPr>
        <w:rFonts w:hint="default"/>
      </w:rPr>
    </w:lvl>
    <w:lvl w:ilvl="5">
      <w:start w:val="1"/>
      <w:numFmt w:val="decimal"/>
      <w:lvlText w:val="%1.%2.%3.%4.%5.%6"/>
      <w:lvlJc w:val="left"/>
      <w:pPr>
        <w:ind w:left="8010" w:hanging="1440"/>
      </w:pPr>
      <w:rPr>
        <w:rFonts w:hint="default"/>
      </w:rPr>
    </w:lvl>
    <w:lvl w:ilvl="6">
      <w:start w:val="1"/>
      <w:numFmt w:val="decimal"/>
      <w:lvlText w:val="%1.%2.%3.%4.%5.%6.%7"/>
      <w:lvlJc w:val="left"/>
      <w:pPr>
        <w:ind w:left="9234" w:hanging="1440"/>
      </w:pPr>
      <w:rPr>
        <w:rFonts w:hint="default"/>
      </w:rPr>
    </w:lvl>
    <w:lvl w:ilvl="7">
      <w:start w:val="1"/>
      <w:numFmt w:val="decimal"/>
      <w:lvlText w:val="%1.%2.%3.%4.%5.%6.%7.%8"/>
      <w:lvlJc w:val="left"/>
      <w:pPr>
        <w:ind w:left="10818" w:hanging="1800"/>
      </w:pPr>
      <w:rPr>
        <w:rFonts w:hint="default"/>
      </w:rPr>
    </w:lvl>
    <w:lvl w:ilvl="8">
      <w:start w:val="1"/>
      <w:numFmt w:val="decimal"/>
      <w:lvlText w:val="%1.%2.%3.%4.%5.%6.%7.%8.%9"/>
      <w:lvlJc w:val="left"/>
      <w:pPr>
        <w:ind w:left="12042" w:hanging="1800"/>
      </w:pPr>
      <w:rPr>
        <w:rFonts w:hint="default"/>
      </w:rPr>
    </w:lvl>
  </w:abstractNum>
  <w:abstractNum w:abstractNumId="14">
    <w:nsid w:val="57774BB7"/>
    <w:multiLevelType w:val="hybridMultilevel"/>
    <w:tmpl w:val="F6F4B9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91B3BFB"/>
    <w:multiLevelType w:val="multilevel"/>
    <w:tmpl w:val="9766BABE"/>
    <w:lvl w:ilvl="0">
      <w:start w:val="3"/>
      <w:numFmt w:val="decimal"/>
      <w:lvlText w:val="%1"/>
      <w:lvlJc w:val="left"/>
      <w:pPr>
        <w:ind w:left="465" w:hanging="465"/>
      </w:pPr>
      <w:rPr>
        <w:rFonts w:hint="default"/>
      </w:rPr>
    </w:lvl>
    <w:lvl w:ilvl="1">
      <w:start w:val="25"/>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nsid w:val="595A29EC"/>
    <w:multiLevelType w:val="hybridMultilevel"/>
    <w:tmpl w:val="AD787048"/>
    <w:lvl w:ilvl="0" w:tplc="241A66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5E547921"/>
    <w:multiLevelType w:val="multilevel"/>
    <w:tmpl w:val="6D188E12"/>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8">
    <w:nsid w:val="61566A3F"/>
    <w:multiLevelType w:val="multilevel"/>
    <w:tmpl w:val="BFA0F454"/>
    <w:lvl w:ilvl="0">
      <w:start w:val="3"/>
      <w:numFmt w:val="decimal"/>
      <w:lvlText w:val="%1"/>
      <w:lvlJc w:val="left"/>
      <w:pPr>
        <w:ind w:left="465" w:hanging="465"/>
      </w:pPr>
      <w:rPr>
        <w:rFonts w:hint="default"/>
        <w:color w:val="000000" w:themeColor="text1"/>
      </w:rPr>
    </w:lvl>
    <w:lvl w:ilvl="1">
      <w:start w:val="34"/>
      <w:numFmt w:val="decimal"/>
      <w:lvlText w:val="%1.%2"/>
      <w:lvlJc w:val="left"/>
      <w:pPr>
        <w:ind w:left="1175" w:hanging="46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480" w:hanging="1800"/>
      </w:pPr>
      <w:rPr>
        <w:rFonts w:hint="default"/>
        <w:color w:val="000000" w:themeColor="text1"/>
      </w:rPr>
    </w:lvl>
  </w:abstractNum>
  <w:abstractNum w:abstractNumId="19">
    <w:nsid w:val="6A6625B1"/>
    <w:multiLevelType w:val="multilevel"/>
    <w:tmpl w:val="949A697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6C86191A"/>
    <w:multiLevelType w:val="multilevel"/>
    <w:tmpl w:val="6F6269BA"/>
    <w:lvl w:ilvl="0">
      <w:start w:val="3"/>
      <w:numFmt w:val="decimal"/>
      <w:lvlText w:val="%1"/>
      <w:lvlJc w:val="left"/>
      <w:pPr>
        <w:ind w:left="465" w:hanging="465"/>
      </w:pPr>
      <w:rPr>
        <w:rFonts w:hint="default"/>
      </w:rPr>
    </w:lvl>
    <w:lvl w:ilvl="1">
      <w:start w:val="22"/>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nsid w:val="6E8B161B"/>
    <w:multiLevelType w:val="hybridMultilevel"/>
    <w:tmpl w:val="F692CE0E"/>
    <w:lvl w:ilvl="0" w:tplc="B10E0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840FC8"/>
    <w:multiLevelType w:val="hybridMultilevel"/>
    <w:tmpl w:val="60423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C790874"/>
    <w:multiLevelType w:val="hybridMultilevel"/>
    <w:tmpl w:val="7C483E6A"/>
    <w:lvl w:ilvl="0" w:tplc="A8D6CB9A">
      <w:start w:val="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5"/>
  </w:num>
  <w:num w:numId="24">
    <w:abstractNumId w:val="2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19"/>
  </w:num>
  <w:num w:numId="29">
    <w:abstractNumId w:val="11"/>
  </w:num>
  <w:num w:numId="30">
    <w:abstractNumId w:val="20"/>
  </w:num>
  <w:num w:numId="31">
    <w:abstractNumId w:val="13"/>
  </w:num>
  <w:num w:numId="32">
    <w:abstractNumId w:val="17"/>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9"/>
  </w:num>
  <w:num w:numId="37">
    <w:abstractNumId w:val="7"/>
  </w:num>
  <w:num w:numId="38">
    <w:abstractNumId w:val="18"/>
  </w:num>
  <w:num w:numId="39">
    <w:abstractNumId w:val="14"/>
  </w:num>
  <w:num w:numId="40">
    <w:abstractNumId w:val="6"/>
  </w:num>
  <w:num w:numId="41">
    <w:abstractNumId w:val="1"/>
  </w:num>
  <w:num w:numId="42">
    <w:abstractNumId w:val="15"/>
  </w:num>
  <w:num w:numId="43">
    <w:abstractNumId w:val="0"/>
    <w:lvlOverride w:ilvl="0">
      <w:startOverride w:val="3"/>
    </w:lvlOverride>
    <w:lvlOverride w:ilvl="1">
      <w:startOverride w:val="26"/>
    </w:lvlOverride>
  </w:num>
  <w:num w:numId="44">
    <w:abstractNumId w:val="4"/>
  </w:num>
  <w:num w:numId="45">
    <w:abstractNumId w:val="3"/>
  </w:num>
  <w:num w:numId="46">
    <w:abstractNumId w:val="2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Down">
    <w15:presenceInfo w15:providerId="AD" w15:userId="S-1-5-21-976590890-3550147883-1238988091-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FD"/>
    <w:rsid w:val="000004AD"/>
    <w:rsid w:val="000017AD"/>
    <w:rsid w:val="0000199D"/>
    <w:rsid w:val="00006DC2"/>
    <w:rsid w:val="0001201D"/>
    <w:rsid w:val="00013999"/>
    <w:rsid w:val="00014509"/>
    <w:rsid w:val="000171C2"/>
    <w:rsid w:val="000206AB"/>
    <w:rsid w:val="00022004"/>
    <w:rsid w:val="00022E05"/>
    <w:rsid w:val="00024EB8"/>
    <w:rsid w:val="00027DB4"/>
    <w:rsid w:val="00031DE8"/>
    <w:rsid w:val="000323C0"/>
    <w:rsid w:val="0003446B"/>
    <w:rsid w:val="0003463D"/>
    <w:rsid w:val="0003751D"/>
    <w:rsid w:val="000379EA"/>
    <w:rsid w:val="0004049E"/>
    <w:rsid w:val="00040A80"/>
    <w:rsid w:val="00043715"/>
    <w:rsid w:val="00043786"/>
    <w:rsid w:val="00050870"/>
    <w:rsid w:val="00051C1A"/>
    <w:rsid w:val="0005200C"/>
    <w:rsid w:val="00052957"/>
    <w:rsid w:val="00053045"/>
    <w:rsid w:val="000557EF"/>
    <w:rsid w:val="000560C2"/>
    <w:rsid w:val="00060DFF"/>
    <w:rsid w:val="00060FCA"/>
    <w:rsid w:val="0006113E"/>
    <w:rsid w:val="00061819"/>
    <w:rsid w:val="00063A3A"/>
    <w:rsid w:val="00065172"/>
    <w:rsid w:val="00066149"/>
    <w:rsid w:val="00066853"/>
    <w:rsid w:val="000677E9"/>
    <w:rsid w:val="00070217"/>
    <w:rsid w:val="00071229"/>
    <w:rsid w:val="00071C2B"/>
    <w:rsid w:val="00071EA5"/>
    <w:rsid w:val="00074000"/>
    <w:rsid w:val="00074125"/>
    <w:rsid w:val="00076F72"/>
    <w:rsid w:val="00077783"/>
    <w:rsid w:val="00081C25"/>
    <w:rsid w:val="000831D2"/>
    <w:rsid w:val="00085460"/>
    <w:rsid w:val="00087788"/>
    <w:rsid w:val="00090C0C"/>
    <w:rsid w:val="00093E3B"/>
    <w:rsid w:val="00094547"/>
    <w:rsid w:val="00096A3D"/>
    <w:rsid w:val="000A0797"/>
    <w:rsid w:val="000A0809"/>
    <w:rsid w:val="000A33F9"/>
    <w:rsid w:val="000A3F24"/>
    <w:rsid w:val="000A40A9"/>
    <w:rsid w:val="000A5721"/>
    <w:rsid w:val="000A64AD"/>
    <w:rsid w:val="000A780A"/>
    <w:rsid w:val="000A7962"/>
    <w:rsid w:val="000B3230"/>
    <w:rsid w:val="000B65C7"/>
    <w:rsid w:val="000C1301"/>
    <w:rsid w:val="000C1438"/>
    <w:rsid w:val="000C2506"/>
    <w:rsid w:val="000C5826"/>
    <w:rsid w:val="000C7782"/>
    <w:rsid w:val="000C7A73"/>
    <w:rsid w:val="000D1B86"/>
    <w:rsid w:val="000D2B15"/>
    <w:rsid w:val="000D3C79"/>
    <w:rsid w:val="000D5B5E"/>
    <w:rsid w:val="000D7B63"/>
    <w:rsid w:val="000E152E"/>
    <w:rsid w:val="000E19C9"/>
    <w:rsid w:val="000E2523"/>
    <w:rsid w:val="000E4FBD"/>
    <w:rsid w:val="000E54C6"/>
    <w:rsid w:val="000E56F8"/>
    <w:rsid w:val="000E6911"/>
    <w:rsid w:val="000E7420"/>
    <w:rsid w:val="000F0461"/>
    <w:rsid w:val="000F0758"/>
    <w:rsid w:val="000F0E18"/>
    <w:rsid w:val="000F197E"/>
    <w:rsid w:val="000F1EA4"/>
    <w:rsid w:val="000F2652"/>
    <w:rsid w:val="000F3E96"/>
    <w:rsid w:val="000F5DF4"/>
    <w:rsid w:val="000F6BAE"/>
    <w:rsid w:val="0010008D"/>
    <w:rsid w:val="00100335"/>
    <w:rsid w:val="001044D4"/>
    <w:rsid w:val="00105133"/>
    <w:rsid w:val="00106863"/>
    <w:rsid w:val="00107DF9"/>
    <w:rsid w:val="00110154"/>
    <w:rsid w:val="00110A28"/>
    <w:rsid w:val="0011123A"/>
    <w:rsid w:val="00114056"/>
    <w:rsid w:val="0011799B"/>
    <w:rsid w:val="00124AE4"/>
    <w:rsid w:val="001257DE"/>
    <w:rsid w:val="00130606"/>
    <w:rsid w:val="001329AF"/>
    <w:rsid w:val="00133E28"/>
    <w:rsid w:val="00135B67"/>
    <w:rsid w:val="00136B68"/>
    <w:rsid w:val="00140AE6"/>
    <w:rsid w:val="00141F15"/>
    <w:rsid w:val="001443F3"/>
    <w:rsid w:val="00146FEF"/>
    <w:rsid w:val="00150267"/>
    <w:rsid w:val="00150F22"/>
    <w:rsid w:val="00152161"/>
    <w:rsid w:val="00152D91"/>
    <w:rsid w:val="001533F2"/>
    <w:rsid w:val="00153FE5"/>
    <w:rsid w:val="0015445F"/>
    <w:rsid w:val="0015478B"/>
    <w:rsid w:val="00155A41"/>
    <w:rsid w:val="00157FA5"/>
    <w:rsid w:val="00160764"/>
    <w:rsid w:val="00162524"/>
    <w:rsid w:val="001627D3"/>
    <w:rsid w:val="00167D4A"/>
    <w:rsid w:val="00170055"/>
    <w:rsid w:val="00170817"/>
    <w:rsid w:val="00171F0D"/>
    <w:rsid w:val="00173A72"/>
    <w:rsid w:val="001762AE"/>
    <w:rsid w:val="0018023D"/>
    <w:rsid w:val="00180546"/>
    <w:rsid w:val="00181A10"/>
    <w:rsid w:val="001830CC"/>
    <w:rsid w:val="001847D6"/>
    <w:rsid w:val="0018721D"/>
    <w:rsid w:val="0018789D"/>
    <w:rsid w:val="00190572"/>
    <w:rsid w:val="00190926"/>
    <w:rsid w:val="001956BF"/>
    <w:rsid w:val="00196C8A"/>
    <w:rsid w:val="00197CE5"/>
    <w:rsid w:val="001A2995"/>
    <w:rsid w:val="001A2F86"/>
    <w:rsid w:val="001A3F5A"/>
    <w:rsid w:val="001A4A1B"/>
    <w:rsid w:val="001A5E0E"/>
    <w:rsid w:val="001A64BB"/>
    <w:rsid w:val="001A76BD"/>
    <w:rsid w:val="001A7ABA"/>
    <w:rsid w:val="001B25C4"/>
    <w:rsid w:val="001C2FDB"/>
    <w:rsid w:val="001C3C71"/>
    <w:rsid w:val="001C7141"/>
    <w:rsid w:val="001D024A"/>
    <w:rsid w:val="001D41F5"/>
    <w:rsid w:val="001D4AA6"/>
    <w:rsid w:val="001D4E81"/>
    <w:rsid w:val="001D4FAE"/>
    <w:rsid w:val="001E0136"/>
    <w:rsid w:val="001E0EE8"/>
    <w:rsid w:val="001E251E"/>
    <w:rsid w:val="001E2843"/>
    <w:rsid w:val="001E58A1"/>
    <w:rsid w:val="001E5CFE"/>
    <w:rsid w:val="001E782D"/>
    <w:rsid w:val="001E7C58"/>
    <w:rsid w:val="001F2629"/>
    <w:rsid w:val="001F618E"/>
    <w:rsid w:val="001F7133"/>
    <w:rsid w:val="001F728B"/>
    <w:rsid w:val="001F7975"/>
    <w:rsid w:val="002000C7"/>
    <w:rsid w:val="00200D36"/>
    <w:rsid w:val="00200E98"/>
    <w:rsid w:val="00201501"/>
    <w:rsid w:val="0020292F"/>
    <w:rsid w:val="00205EAC"/>
    <w:rsid w:val="00206E08"/>
    <w:rsid w:val="00212088"/>
    <w:rsid w:val="00215A3E"/>
    <w:rsid w:val="002217D8"/>
    <w:rsid w:val="00223231"/>
    <w:rsid w:val="00225655"/>
    <w:rsid w:val="00227412"/>
    <w:rsid w:val="00231F3E"/>
    <w:rsid w:val="00235BD4"/>
    <w:rsid w:val="0024300F"/>
    <w:rsid w:val="00243A83"/>
    <w:rsid w:val="0024477C"/>
    <w:rsid w:val="00245C08"/>
    <w:rsid w:val="0024612D"/>
    <w:rsid w:val="002528D4"/>
    <w:rsid w:val="00252C39"/>
    <w:rsid w:val="002542E8"/>
    <w:rsid w:val="0025465A"/>
    <w:rsid w:val="00255D51"/>
    <w:rsid w:val="00256746"/>
    <w:rsid w:val="00260499"/>
    <w:rsid w:val="00260C19"/>
    <w:rsid w:val="00262677"/>
    <w:rsid w:val="002646A4"/>
    <w:rsid w:val="00264D17"/>
    <w:rsid w:val="002659D1"/>
    <w:rsid w:val="00265AE5"/>
    <w:rsid w:val="00265C73"/>
    <w:rsid w:val="002668B9"/>
    <w:rsid w:val="002810CA"/>
    <w:rsid w:val="00282051"/>
    <w:rsid w:val="00284B97"/>
    <w:rsid w:val="00285E52"/>
    <w:rsid w:val="002862BC"/>
    <w:rsid w:val="002863D0"/>
    <w:rsid w:val="00293DA6"/>
    <w:rsid w:val="002940D6"/>
    <w:rsid w:val="0029662E"/>
    <w:rsid w:val="002A21BF"/>
    <w:rsid w:val="002A2203"/>
    <w:rsid w:val="002A497E"/>
    <w:rsid w:val="002A4E04"/>
    <w:rsid w:val="002B048C"/>
    <w:rsid w:val="002B39DC"/>
    <w:rsid w:val="002B5663"/>
    <w:rsid w:val="002C72E1"/>
    <w:rsid w:val="002C797A"/>
    <w:rsid w:val="002D27E1"/>
    <w:rsid w:val="002D4CC7"/>
    <w:rsid w:val="002D4F58"/>
    <w:rsid w:val="002D54E0"/>
    <w:rsid w:val="002D685E"/>
    <w:rsid w:val="002D7735"/>
    <w:rsid w:val="002E220C"/>
    <w:rsid w:val="002F2EF9"/>
    <w:rsid w:val="00301427"/>
    <w:rsid w:val="0030415C"/>
    <w:rsid w:val="003041BC"/>
    <w:rsid w:val="003048F2"/>
    <w:rsid w:val="00305981"/>
    <w:rsid w:val="0031356F"/>
    <w:rsid w:val="00313DD9"/>
    <w:rsid w:val="0031528C"/>
    <w:rsid w:val="0031551B"/>
    <w:rsid w:val="003158DE"/>
    <w:rsid w:val="00316E35"/>
    <w:rsid w:val="00317943"/>
    <w:rsid w:val="003203E5"/>
    <w:rsid w:val="00321368"/>
    <w:rsid w:val="00322E36"/>
    <w:rsid w:val="00323FE6"/>
    <w:rsid w:val="0032413B"/>
    <w:rsid w:val="00324B85"/>
    <w:rsid w:val="00324F94"/>
    <w:rsid w:val="00325E60"/>
    <w:rsid w:val="00327765"/>
    <w:rsid w:val="00327B9D"/>
    <w:rsid w:val="00331D7E"/>
    <w:rsid w:val="00331DBD"/>
    <w:rsid w:val="00331E69"/>
    <w:rsid w:val="003323C6"/>
    <w:rsid w:val="003325AB"/>
    <w:rsid w:val="00333440"/>
    <w:rsid w:val="0033662F"/>
    <w:rsid w:val="00336BE5"/>
    <w:rsid w:val="00336F04"/>
    <w:rsid w:val="0033709E"/>
    <w:rsid w:val="00340112"/>
    <w:rsid w:val="00344B40"/>
    <w:rsid w:val="00346FD1"/>
    <w:rsid w:val="003516A0"/>
    <w:rsid w:val="003553DC"/>
    <w:rsid w:val="00355BC2"/>
    <w:rsid w:val="00356D22"/>
    <w:rsid w:val="00360A20"/>
    <w:rsid w:val="00362EEF"/>
    <w:rsid w:val="00370417"/>
    <w:rsid w:val="003713C9"/>
    <w:rsid w:val="003741DE"/>
    <w:rsid w:val="003743AD"/>
    <w:rsid w:val="00377D41"/>
    <w:rsid w:val="00381566"/>
    <w:rsid w:val="003865CA"/>
    <w:rsid w:val="00387ADB"/>
    <w:rsid w:val="003900AC"/>
    <w:rsid w:val="00395F4B"/>
    <w:rsid w:val="003A0D8E"/>
    <w:rsid w:val="003A2AEC"/>
    <w:rsid w:val="003A382D"/>
    <w:rsid w:val="003A3B62"/>
    <w:rsid w:val="003B172A"/>
    <w:rsid w:val="003C0E53"/>
    <w:rsid w:val="003C2640"/>
    <w:rsid w:val="003C42E6"/>
    <w:rsid w:val="003C5588"/>
    <w:rsid w:val="003C70DF"/>
    <w:rsid w:val="003D1E64"/>
    <w:rsid w:val="003D21B9"/>
    <w:rsid w:val="003D2DC7"/>
    <w:rsid w:val="003D32FA"/>
    <w:rsid w:val="003D4FD2"/>
    <w:rsid w:val="003D6A81"/>
    <w:rsid w:val="003E0D92"/>
    <w:rsid w:val="003E1451"/>
    <w:rsid w:val="003E409C"/>
    <w:rsid w:val="003E4558"/>
    <w:rsid w:val="003F068E"/>
    <w:rsid w:val="003F1023"/>
    <w:rsid w:val="003F17A7"/>
    <w:rsid w:val="003F2134"/>
    <w:rsid w:val="003F35F0"/>
    <w:rsid w:val="003F3DC5"/>
    <w:rsid w:val="003F5259"/>
    <w:rsid w:val="003F5D18"/>
    <w:rsid w:val="004006F6"/>
    <w:rsid w:val="00400D8C"/>
    <w:rsid w:val="00403CE3"/>
    <w:rsid w:val="004047EB"/>
    <w:rsid w:val="00415247"/>
    <w:rsid w:val="004152C3"/>
    <w:rsid w:val="00423252"/>
    <w:rsid w:val="00424172"/>
    <w:rsid w:val="0043070C"/>
    <w:rsid w:val="00430E04"/>
    <w:rsid w:val="004318E2"/>
    <w:rsid w:val="00431C9F"/>
    <w:rsid w:val="00432F9A"/>
    <w:rsid w:val="00433A50"/>
    <w:rsid w:val="004359A4"/>
    <w:rsid w:val="004370E6"/>
    <w:rsid w:val="004429F0"/>
    <w:rsid w:val="00445685"/>
    <w:rsid w:val="00447DDA"/>
    <w:rsid w:val="00453EAF"/>
    <w:rsid w:val="004550D5"/>
    <w:rsid w:val="00456EFF"/>
    <w:rsid w:val="0046686E"/>
    <w:rsid w:val="0046726C"/>
    <w:rsid w:val="004678D1"/>
    <w:rsid w:val="00467D18"/>
    <w:rsid w:val="00472580"/>
    <w:rsid w:val="00473276"/>
    <w:rsid w:val="004757F0"/>
    <w:rsid w:val="00475EB4"/>
    <w:rsid w:val="0048337A"/>
    <w:rsid w:val="00484110"/>
    <w:rsid w:val="0048459C"/>
    <w:rsid w:val="004846CB"/>
    <w:rsid w:val="00485F8A"/>
    <w:rsid w:val="0048635D"/>
    <w:rsid w:val="00487313"/>
    <w:rsid w:val="00491207"/>
    <w:rsid w:val="0049349F"/>
    <w:rsid w:val="004A1E5A"/>
    <w:rsid w:val="004A3488"/>
    <w:rsid w:val="004A356A"/>
    <w:rsid w:val="004A3F04"/>
    <w:rsid w:val="004A563F"/>
    <w:rsid w:val="004A64BD"/>
    <w:rsid w:val="004B0825"/>
    <w:rsid w:val="004B0BFE"/>
    <w:rsid w:val="004B206C"/>
    <w:rsid w:val="004B2DB4"/>
    <w:rsid w:val="004B3018"/>
    <w:rsid w:val="004B4066"/>
    <w:rsid w:val="004B4CC9"/>
    <w:rsid w:val="004B5A9A"/>
    <w:rsid w:val="004B5F2B"/>
    <w:rsid w:val="004C08F8"/>
    <w:rsid w:val="004C4892"/>
    <w:rsid w:val="004C4B90"/>
    <w:rsid w:val="004C53D4"/>
    <w:rsid w:val="004C6228"/>
    <w:rsid w:val="004C6E54"/>
    <w:rsid w:val="004D018C"/>
    <w:rsid w:val="004D0D30"/>
    <w:rsid w:val="004D1EA1"/>
    <w:rsid w:val="004D31F7"/>
    <w:rsid w:val="004D3324"/>
    <w:rsid w:val="004D6E38"/>
    <w:rsid w:val="004E00AA"/>
    <w:rsid w:val="004E5CA9"/>
    <w:rsid w:val="004E752B"/>
    <w:rsid w:val="004F04E0"/>
    <w:rsid w:val="004F1E53"/>
    <w:rsid w:val="004F327C"/>
    <w:rsid w:val="0050015A"/>
    <w:rsid w:val="00500ADA"/>
    <w:rsid w:val="0050137D"/>
    <w:rsid w:val="00503E1E"/>
    <w:rsid w:val="00505CFE"/>
    <w:rsid w:val="005066CF"/>
    <w:rsid w:val="00511782"/>
    <w:rsid w:val="005120D4"/>
    <w:rsid w:val="005120E9"/>
    <w:rsid w:val="0051229B"/>
    <w:rsid w:val="0051267D"/>
    <w:rsid w:val="005156DF"/>
    <w:rsid w:val="00516735"/>
    <w:rsid w:val="0052301B"/>
    <w:rsid w:val="00524845"/>
    <w:rsid w:val="00524968"/>
    <w:rsid w:val="00525148"/>
    <w:rsid w:val="0052712C"/>
    <w:rsid w:val="00532BAE"/>
    <w:rsid w:val="005337B0"/>
    <w:rsid w:val="00533BD6"/>
    <w:rsid w:val="00536294"/>
    <w:rsid w:val="00547EBC"/>
    <w:rsid w:val="0055063C"/>
    <w:rsid w:val="00550FF9"/>
    <w:rsid w:val="005552BD"/>
    <w:rsid w:val="0056021A"/>
    <w:rsid w:val="00562070"/>
    <w:rsid w:val="00563709"/>
    <w:rsid w:val="00563971"/>
    <w:rsid w:val="00563F1E"/>
    <w:rsid w:val="0056457C"/>
    <w:rsid w:val="0056715B"/>
    <w:rsid w:val="005678B0"/>
    <w:rsid w:val="00571C74"/>
    <w:rsid w:val="00571F02"/>
    <w:rsid w:val="005731CE"/>
    <w:rsid w:val="005745AD"/>
    <w:rsid w:val="00577B61"/>
    <w:rsid w:val="00580AA1"/>
    <w:rsid w:val="00582207"/>
    <w:rsid w:val="00582407"/>
    <w:rsid w:val="005824CC"/>
    <w:rsid w:val="005848D1"/>
    <w:rsid w:val="005860FE"/>
    <w:rsid w:val="0058739F"/>
    <w:rsid w:val="00590ABC"/>
    <w:rsid w:val="00591E28"/>
    <w:rsid w:val="0059252A"/>
    <w:rsid w:val="00592DC4"/>
    <w:rsid w:val="00593B98"/>
    <w:rsid w:val="005A0363"/>
    <w:rsid w:val="005A20B1"/>
    <w:rsid w:val="005A3BA1"/>
    <w:rsid w:val="005A5514"/>
    <w:rsid w:val="005A77E4"/>
    <w:rsid w:val="005A7C8C"/>
    <w:rsid w:val="005B06A6"/>
    <w:rsid w:val="005B1933"/>
    <w:rsid w:val="005B6F85"/>
    <w:rsid w:val="005C00E8"/>
    <w:rsid w:val="005C0487"/>
    <w:rsid w:val="005C1878"/>
    <w:rsid w:val="005C247E"/>
    <w:rsid w:val="005C3887"/>
    <w:rsid w:val="005C498A"/>
    <w:rsid w:val="005D0420"/>
    <w:rsid w:val="005D24EA"/>
    <w:rsid w:val="005D2BF5"/>
    <w:rsid w:val="005D3784"/>
    <w:rsid w:val="005D487C"/>
    <w:rsid w:val="005D530F"/>
    <w:rsid w:val="005D5CE6"/>
    <w:rsid w:val="005E0141"/>
    <w:rsid w:val="005E2EE5"/>
    <w:rsid w:val="005E4373"/>
    <w:rsid w:val="005E614F"/>
    <w:rsid w:val="005F0730"/>
    <w:rsid w:val="005F1933"/>
    <w:rsid w:val="005F30BF"/>
    <w:rsid w:val="005F3201"/>
    <w:rsid w:val="005F39DC"/>
    <w:rsid w:val="005F4242"/>
    <w:rsid w:val="005F46D5"/>
    <w:rsid w:val="005F5832"/>
    <w:rsid w:val="005F64AE"/>
    <w:rsid w:val="005F6D6A"/>
    <w:rsid w:val="005F764F"/>
    <w:rsid w:val="006009E2"/>
    <w:rsid w:val="00603F62"/>
    <w:rsid w:val="00604155"/>
    <w:rsid w:val="00604496"/>
    <w:rsid w:val="00605902"/>
    <w:rsid w:val="00605A2E"/>
    <w:rsid w:val="00606C5A"/>
    <w:rsid w:val="00607490"/>
    <w:rsid w:val="00607577"/>
    <w:rsid w:val="00610FE4"/>
    <w:rsid w:val="00612F7A"/>
    <w:rsid w:val="00615293"/>
    <w:rsid w:val="00620AE5"/>
    <w:rsid w:val="0062209E"/>
    <w:rsid w:val="00622FAA"/>
    <w:rsid w:val="006259CA"/>
    <w:rsid w:val="0062698B"/>
    <w:rsid w:val="00626F28"/>
    <w:rsid w:val="006273FA"/>
    <w:rsid w:val="00627969"/>
    <w:rsid w:val="006316EF"/>
    <w:rsid w:val="0063256B"/>
    <w:rsid w:val="006333B6"/>
    <w:rsid w:val="0063634E"/>
    <w:rsid w:val="0064072C"/>
    <w:rsid w:val="0064294E"/>
    <w:rsid w:val="0064302A"/>
    <w:rsid w:val="0064440E"/>
    <w:rsid w:val="0064479E"/>
    <w:rsid w:val="00644A3B"/>
    <w:rsid w:val="00646923"/>
    <w:rsid w:val="006500B6"/>
    <w:rsid w:val="00655AD4"/>
    <w:rsid w:val="006561A5"/>
    <w:rsid w:val="00657DD9"/>
    <w:rsid w:val="00660D0C"/>
    <w:rsid w:val="00661430"/>
    <w:rsid w:val="00662BBA"/>
    <w:rsid w:val="00663944"/>
    <w:rsid w:val="00664487"/>
    <w:rsid w:val="006665A5"/>
    <w:rsid w:val="006702E3"/>
    <w:rsid w:val="00672118"/>
    <w:rsid w:val="00673817"/>
    <w:rsid w:val="006768AB"/>
    <w:rsid w:val="0067771E"/>
    <w:rsid w:val="00677DAC"/>
    <w:rsid w:val="00680436"/>
    <w:rsid w:val="0068051A"/>
    <w:rsid w:val="00680CB1"/>
    <w:rsid w:val="00684350"/>
    <w:rsid w:val="00690E2D"/>
    <w:rsid w:val="00691763"/>
    <w:rsid w:val="00693499"/>
    <w:rsid w:val="00694678"/>
    <w:rsid w:val="00696DD7"/>
    <w:rsid w:val="006A2B6E"/>
    <w:rsid w:val="006A3EF6"/>
    <w:rsid w:val="006A497B"/>
    <w:rsid w:val="006A4FA7"/>
    <w:rsid w:val="006A6027"/>
    <w:rsid w:val="006B3285"/>
    <w:rsid w:val="006B4000"/>
    <w:rsid w:val="006B5841"/>
    <w:rsid w:val="006C07C7"/>
    <w:rsid w:val="006C090C"/>
    <w:rsid w:val="006C21C6"/>
    <w:rsid w:val="006C25EF"/>
    <w:rsid w:val="006C78B1"/>
    <w:rsid w:val="006C7ADA"/>
    <w:rsid w:val="006D0528"/>
    <w:rsid w:val="006D19A6"/>
    <w:rsid w:val="006D314F"/>
    <w:rsid w:val="006D554D"/>
    <w:rsid w:val="006E038D"/>
    <w:rsid w:val="006E099D"/>
    <w:rsid w:val="006E3598"/>
    <w:rsid w:val="006E3D4E"/>
    <w:rsid w:val="006E610A"/>
    <w:rsid w:val="007019E1"/>
    <w:rsid w:val="00703705"/>
    <w:rsid w:val="00704F7C"/>
    <w:rsid w:val="00707D75"/>
    <w:rsid w:val="00712C36"/>
    <w:rsid w:val="00712E2E"/>
    <w:rsid w:val="00713647"/>
    <w:rsid w:val="00713919"/>
    <w:rsid w:val="007147CE"/>
    <w:rsid w:val="00714B11"/>
    <w:rsid w:val="00715A2C"/>
    <w:rsid w:val="00716240"/>
    <w:rsid w:val="00721DF5"/>
    <w:rsid w:val="00723937"/>
    <w:rsid w:val="00724909"/>
    <w:rsid w:val="0073185A"/>
    <w:rsid w:val="007321FD"/>
    <w:rsid w:val="00734E72"/>
    <w:rsid w:val="00734FA9"/>
    <w:rsid w:val="0073719F"/>
    <w:rsid w:val="007419A5"/>
    <w:rsid w:val="007425AA"/>
    <w:rsid w:val="00742D0F"/>
    <w:rsid w:val="00743E34"/>
    <w:rsid w:val="007465A9"/>
    <w:rsid w:val="00751025"/>
    <w:rsid w:val="00755637"/>
    <w:rsid w:val="00755937"/>
    <w:rsid w:val="00755BA0"/>
    <w:rsid w:val="00755C6B"/>
    <w:rsid w:val="00756711"/>
    <w:rsid w:val="00760D77"/>
    <w:rsid w:val="007619F6"/>
    <w:rsid w:val="00761D35"/>
    <w:rsid w:val="00767116"/>
    <w:rsid w:val="00767598"/>
    <w:rsid w:val="0076791C"/>
    <w:rsid w:val="00772637"/>
    <w:rsid w:val="007760E6"/>
    <w:rsid w:val="0077659D"/>
    <w:rsid w:val="007802A2"/>
    <w:rsid w:val="0078071A"/>
    <w:rsid w:val="007817A1"/>
    <w:rsid w:val="00782AB2"/>
    <w:rsid w:val="00782AB6"/>
    <w:rsid w:val="00785C96"/>
    <w:rsid w:val="00786156"/>
    <w:rsid w:val="00790ED6"/>
    <w:rsid w:val="007929AE"/>
    <w:rsid w:val="00793640"/>
    <w:rsid w:val="007939B7"/>
    <w:rsid w:val="00793EAC"/>
    <w:rsid w:val="00795EB6"/>
    <w:rsid w:val="0079674D"/>
    <w:rsid w:val="00797055"/>
    <w:rsid w:val="00797D59"/>
    <w:rsid w:val="007A0A07"/>
    <w:rsid w:val="007A37BA"/>
    <w:rsid w:val="007A6E9C"/>
    <w:rsid w:val="007B11B9"/>
    <w:rsid w:val="007B3D83"/>
    <w:rsid w:val="007B64A6"/>
    <w:rsid w:val="007B7366"/>
    <w:rsid w:val="007B78C4"/>
    <w:rsid w:val="007C0ADD"/>
    <w:rsid w:val="007C18C6"/>
    <w:rsid w:val="007C5DB6"/>
    <w:rsid w:val="007C6049"/>
    <w:rsid w:val="007C630E"/>
    <w:rsid w:val="007C66C5"/>
    <w:rsid w:val="007D5027"/>
    <w:rsid w:val="007D6EBA"/>
    <w:rsid w:val="007E0D2C"/>
    <w:rsid w:val="007E2C0E"/>
    <w:rsid w:val="007E44BA"/>
    <w:rsid w:val="007E4840"/>
    <w:rsid w:val="007E4F73"/>
    <w:rsid w:val="007E4FC3"/>
    <w:rsid w:val="007E500E"/>
    <w:rsid w:val="007E5080"/>
    <w:rsid w:val="007E50F4"/>
    <w:rsid w:val="007E57BF"/>
    <w:rsid w:val="007E6530"/>
    <w:rsid w:val="007E6EBB"/>
    <w:rsid w:val="007F37A9"/>
    <w:rsid w:val="007F5606"/>
    <w:rsid w:val="00801118"/>
    <w:rsid w:val="0080480F"/>
    <w:rsid w:val="008078C3"/>
    <w:rsid w:val="00807B3B"/>
    <w:rsid w:val="0081003F"/>
    <w:rsid w:val="008115E8"/>
    <w:rsid w:val="00814B4A"/>
    <w:rsid w:val="00815462"/>
    <w:rsid w:val="00815911"/>
    <w:rsid w:val="00816C42"/>
    <w:rsid w:val="008216F2"/>
    <w:rsid w:val="008267B5"/>
    <w:rsid w:val="00826A14"/>
    <w:rsid w:val="008307EE"/>
    <w:rsid w:val="00832F65"/>
    <w:rsid w:val="00833436"/>
    <w:rsid w:val="00833570"/>
    <w:rsid w:val="00833917"/>
    <w:rsid w:val="008341F6"/>
    <w:rsid w:val="008352F2"/>
    <w:rsid w:val="00835CEE"/>
    <w:rsid w:val="00836FDD"/>
    <w:rsid w:val="00843EBC"/>
    <w:rsid w:val="0084526F"/>
    <w:rsid w:val="008463B7"/>
    <w:rsid w:val="00851C04"/>
    <w:rsid w:val="00852B6D"/>
    <w:rsid w:val="008562A9"/>
    <w:rsid w:val="00867164"/>
    <w:rsid w:val="00867D86"/>
    <w:rsid w:val="00876A71"/>
    <w:rsid w:val="0088106F"/>
    <w:rsid w:val="00882303"/>
    <w:rsid w:val="00882B39"/>
    <w:rsid w:val="00882E7E"/>
    <w:rsid w:val="008844B1"/>
    <w:rsid w:val="00884D8A"/>
    <w:rsid w:val="00885B78"/>
    <w:rsid w:val="00890272"/>
    <w:rsid w:val="008918E7"/>
    <w:rsid w:val="00891B8C"/>
    <w:rsid w:val="00891BF5"/>
    <w:rsid w:val="00894993"/>
    <w:rsid w:val="008949B3"/>
    <w:rsid w:val="00895539"/>
    <w:rsid w:val="008973F7"/>
    <w:rsid w:val="008A2529"/>
    <w:rsid w:val="008A380A"/>
    <w:rsid w:val="008A4BF8"/>
    <w:rsid w:val="008A5817"/>
    <w:rsid w:val="008B0734"/>
    <w:rsid w:val="008B279A"/>
    <w:rsid w:val="008B2D21"/>
    <w:rsid w:val="008B3A1C"/>
    <w:rsid w:val="008B6677"/>
    <w:rsid w:val="008C11A4"/>
    <w:rsid w:val="008C2F5E"/>
    <w:rsid w:val="008C32AE"/>
    <w:rsid w:val="008C45E6"/>
    <w:rsid w:val="008C4732"/>
    <w:rsid w:val="008C577C"/>
    <w:rsid w:val="008C6CBB"/>
    <w:rsid w:val="008C7523"/>
    <w:rsid w:val="008D0DFE"/>
    <w:rsid w:val="008D149B"/>
    <w:rsid w:val="008D1586"/>
    <w:rsid w:val="008D3572"/>
    <w:rsid w:val="008D481C"/>
    <w:rsid w:val="008D5304"/>
    <w:rsid w:val="008D5B2C"/>
    <w:rsid w:val="008E1626"/>
    <w:rsid w:val="008E27FC"/>
    <w:rsid w:val="008E45AF"/>
    <w:rsid w:val="008E4B18"/>
    <w:rsid w:val="008E5760"/>
    <w:rsid w:val="008E60CD"/>
    <w:rsid w:val="008F10E3"/>
    <w:rsid w:val="008F2BD8"/>
    <w:rsid w:val="008F5865"/>
    <w:rsid w:val="008F6F31"/>
    <w:rsid w:val="008F7768"/>
    <w:rsid w:val="009010A7"/>
    <w:rsid w:val="009027AB"/>
    <w:rsid w:val="009029C8"/>
    <w:rsid w:val="00902EF7"/>
    <w:rsid w:val="00906DC9"/>
    <w:rsid w:val="00907996"/>
    <w:rsid w:val="00907A42"/>
    <w:rsid w:val="00911F27"/>
    <w:rsid w:val="00912BF9"/>
    <w:rsid w:val="00916535"/>
    <w:rsid w:val="0092266B"/>
    <w:rsid w:val="009229D8"/>
    <w:rsid w:val="00927217"/>
    <w:rsid w:val="00931C09"/>
    <w:rsid w:val="009347D5"/>
    <w:rsid w:val="00934944"/>
    <w:rsid w:val="00935995"/>
    <w:rsid w:val="00936429"/>
    <w:rsid w:val="00940571"/>
    <w:rsid w:val="00943AE1"/>
    <w:rsid w:val="009443D1"/>
    <w:rsid w:val="00944835"/>
    <w:rsid w:val="009456A2"/>
    <w:rsid w:val="0095439C"/>
    <w:rsid w:val="00956926"/>
    <w:rsid w:val="00961E08"/>
    <w:rsid w:val="009643E9"/>
    <w:rsid w:val="00965B12"/>
    <w:rsid w:val="009672D9"/>
    <w:rsid w:val="009674C2"/>
    <w:rsid w:val="00970383"/>
    <w:rsid w:val="0097117E"/>
    <w:rsid w:val="00971F43"/>
    <w:rsid w:val="0097511A"/>
    <w:rsid w:val="009754FD"/>
    <w:rsid w:val="00975CC3"/>
    <w:rsid w:val="00976041"/>
    <w:rsid w:val="009762AE"/>
    <w:rsid w:val="0097634A"/>
    <w:rsid w:val="00976798"/>
    <w:rsid w:val="0098187E"/>
    <w:rsid w:val="00994809"/>
    <w:rsid w:val="00995D28"/>
    <w:rsid w:val="00996A7B"/>
    <w:rsid w:val="00997472"/>
    <w:rsid w:val="009A2FB5"/>
    <w:rsid w:val="009A468A"/>
    <w:rsid w:val="009A4A5F"/>
    <w:rsid w:val="009A5544"/>
    <w:rsid w:val="009A58DE"/>
    <w:rsid w:val="009A6498"/>
    <w:rsid w:val="009B36C0"/>
    <w:rsid w:val="009B3E8F"/>
    <w:rsid w:val="009B5A27"/>
    <w:rsid w:val="009B64C5"/>
    <w:rsid w:val="009B66DF"/>
    <w:rsid w:val="009B7BFB"/>
    <w:rsid w:val="009C0291"/>
    <w:rsid w:val="009C0FBA"/>
    <w:rsid w:val="009C4E24"/>
    <w:rsid w:val="009C66F1"/>
    <w:rsid w:val="009C7226"/>
    <w:rsid w:val="009D00F4"/>
    <w:rsid w:val="009D03D8"/>
    <w:rsid w:val="009D0F46"/>
    <w:rsid w:val="009D3571"/>
    <w:rsid w:val="009D6015"/>
    <w:rsid w:val="009E0E26"/>
    <w:rsid w:val="009E4180"/>
    <w:rsid w:val="009E4B3E"/>
    <w:rsid w:val="009E5365"/>
    <w:rsid w:val="009F0953"/>
    <w:rsid w:val="009F53D2"/>
    <w:rsid w:val="00A0071A"/>
    <w:rsid w:val="00A01936"/>
    <w:rsid w:val="00A02B2F"/>
    <w:rsid w:val="00A05BC2"/>
    <w:rsid w:val="00A05C45"/>
    <w:rsid w:val="00A0773C"/>
    <w:rsid w:val="00A17286"/>
    <w:rsid w:val="00A207D2"/>
    <w:rsid w:val="00A23521"/>
    <w:rsid w:val="00A23B9E"/>
    <w:rsid w:val="00A23F3E"/>
    <w:rsid w:val="00A2450E"/>
    <w:rsid w:val="00A24D04"/>
    <w:rsid w:val="00A24F91"/>
    <w:rsid w:val="00A27501"/>
    <w:rsid w:val="00A27552"/>
    <w:rsid w:val="00A301F2"/>
    <w:rsid w:val="00A33FA4"/>
    <w:rsid w:val="00A3586B"/>
    <w:rsid w:val="00A406D5"/>
    <w:rsid w:val="00A41DF7"/>
    <w:rsid w:val="00A422C3"/>
    <w:rsid w:val="00A44EE4"/>
    <w:rsid w:val="00A47029"/>
    <w:rsid w:val="00A473BE"/>
    <w:rsid w:val="00A51748"/>
    <w:rsid w:val="00A53D0A"/>
    <w:rsid w:val="00A57276"/>
    <w:rsid w:val="00A57E4A"/>
    <w:rsid w:val="00A60D8B"/>
    <w:rsid w:val="00A629C7"/>
    <w:rsid w:val="00A6426B"/>
    <w:rsid w:val="00A648FB"/>
    <w:rsid w:val="00A657D6"/>
    <w:rsid w:val="00A705AF"/>
    <w:rsid w:val="00A734D1"/>
    <w:rsid w:val="00A73D12"/>
    <w:rsid w:val="00A76501"/>
    <w:rsid w:val="00A77AFD"/>
    <w:rsid w:val="00A81CC7"/>
    <w:rsid w:val="00A845DA"/>
    <w:rsid w:val="00A864C9"/>
    <w:rsid w:val="00A86C1D"/>
    <w:rsid w:val="00A872FB"/>
    <w:rsid w:val="00A87CB9"/>
    <w:rsid w:val="00A906CD"/>
    <w:rsid w:val="00A91BD5"/>
    <w:rsid w:val="00A95157"/>
    <w:rsid w:val="00A952F5"/>
    <w:rsid w:val="00A96399"/>
    <w:rsid w:val="00A9668B"/>
    <w:rsid w:val="00A97F5E"/>
    <w:rsid w:val="00AA1640"/>
    <w:rsid w:val="00AA51F4"/>
    <w:rsid w:val="00AA6CCE"/>
    <w:rsid w:val="00AB4B76"/>
    <w:rsid w:val="00AB5967"/>
    <w:rsid w:val="00AB5B6F"/>
    <w:rsid w:val="00AD2522"/>
    <w:rsid w:val="00AD4C84"/>
    <w:rsid w:val="00AD6744"/>
    <w:rsid w:val="00AE01A0"/>
    <w:rsid w:val="00AE1205"/>
    <w:rsid w:val="00AE2ED9"/>
    <w:rsid w:val="00AE3F66"/>
    <w:rsid w:val="00AE4098"/>
    <w:rsid w:val="00AE4918"/>
    <w:rsid w:val="00AE6E8D"/>
    <w:rsid w:val="00AE7BF6"/>
    <w:rsid w:val="00AF1DCB"/>
    <w:rsid w:val="00AF34D6"/>
    <w:rsid w:val="00AF4417"/>
    <w:rsid w:val="00AF7B3F"/>
    <w:rsid w:val="00B02168"/>
    <w:rsid w:val="00B0363B"/>
    <w:rsid w:val="00B0724F"/>
    <w:rsid w:val="00B1210E"/>
    <w:rsid w:val="00B12BC0"/>
    <w:rsid w:val="00B17252"/>
    <w:rsid w:val="00B21980"/>
    <w:rsid w:val="00B21DE6"/>
    <w:rsid w:val="00B22D33"/>
    <w:rsid w:val="00B22EAC"/>
    <w:rsid w:val="00B25D98"/>
    <w:rsid w:val="00B304BB"/>
    <w:rsid w:val="00B3176F"/>
    <w:rsid w:val="00B31F4F"/>
    <w:rsid w:val="00B32389"/>
    <w:rsid w:val="00B35411"/>
    <w:rsid w:val="00B4163F"/>
    <w:rsid w:val="00B419F4"/>
    <w:rsid w:val="00B4206A"/>
    <w:rsid w:val="00B43565"/>
    <w:rsid w:val="00B43679"/>
    <w:rsid w:val="00B4477A"/>
    <w:rsid w:val="00B44E12"/>
    <w:rsid w:val="00B452F4"/>
    <w:rsid w:val="00B45D1C"/>
    <w:rsid w:val="00B46E15"/>
    <w:rsid w:val="00B47588"/>
    <w:rsid w:val="00B47BCE"/>
    <w:rsid w:val="00B51418"/>
    <w:rsid w:val="00B52D25"/>
    <w:rsid w:val="00B541A3"/>
    <w:rsid w:val="00B56BE9"/>
    <w:rsid w:val="00B60A40"/>
    <w:rsid w:val="00B62C88"/>
    <w:rsid w:val="00B6691D"/>
    <w:rsid w:val="00B66A05"/>
    <w:rsid w:val="00B713AE"/>
    <w:rsid w:val="00B7360F"/>
    <w:rsid w:val="00B77D34"/>
    <w:rsid w:val="00B8167D"/>
    <w:rsid w:val="00B81D44"/>
    <w:rsid w:val="00B82944"/>
    <w:rsid w:val="00B82D4E"/>
    <w:rsid w:val="00B84A70"/>
    <w:rsid w:val="00B84F44"/>
    <w:rsid w:val="00B920AF"/>
    <w:rsid w:val="00B92A27"/>
    <w:rsid w:val="00B939E9"/>
    <w:rsid w:val="00B94ADD"/>
    <w:rsid w:val="00B967CE"/>
    <w:rsid w:val="00B97D10"/>
    <w:rsid w:val="00BA21B8"/>
    <w:rsid w:val="00BA2677"/>
    <w:rsid w:val="00BA5D8F"/>
    <w:rsid w:val="00BA72D2"/>
    <w:rsid w:val="00BA77C6"/>
    <w:rsid w:val="00BB38CA"/>
    <w:rsid w:val="00BB3BC6"/>
    <w:rsid w:val="00BB43F0"/>
    <w:rsid w:val="00BB48BF"/>
    <w:rsid w:val="00BB6BA2"/>
    <w:rsid w:val="00BB7972"/>
    <w:rsid w:val="00BC0E5B"/>
    <w:rsid w:val="00BC4757"/>
    <w:rsid w:val="00BC4948"/>
    <w:rsid w:val="00BC4C87"/>
    <w:rsid w:val="00BC69D0"/>
    <w:rsid w:val="00BD01F5"/>
    <w:rsid w:val="00BD158B"/>
    <w:rsid w:val="00BD35EA"/>
    <w:rsid w:val="00BD539E"/>
    <w:rsid w:val="00BD5898"/>
    <w:rsid w:val="00BD70B2"/>
    <w:rsid w:val="00BE3001"/>
    <w:rsid w:val="00BE3FF5"/>
    <w:rsid w:val="00BE726C"/>
    <w:rsid w:val="00BE79BC"/>
    <w:rsid w:val="00BF030E"/>
    <w:rsid w:val="00BF1903"/>
    <w:rsid w:val="00BF23F6"/>
    <w:rsid w:val="00BF6D19"/>
    <w:rsid w:val="00BF6D42"/>
    <w:rsid w:val="00C007F5"/>
    <w:rsid w:val="00C02030"/>
    <w:rsid w:val="00C02E23"/>
    <w:rsid w:val="00C054DB"/>
    <w:rsid w:val="00C056A4"/>
    <w:rsid w:val="00C103EC"/>
    <w:rsid w:val="00C11DDB"/>
    <w:rsid w:val="00C13255"/>
    <w:rsid w:val="00C13BE8"/>
    <w:rsid w:val="00C168FB"/>
    <w:rsid w:val="00C16DE0"/>
    <w:rsid w:val="00C16FB9"/>
    <w:rsid w:val="00C17C4D"/>
    <w:rsid w:val="00C22708"/>
    <w:rsid w:val="00C22FCE"/>
    <w:rsid w:val="00C23B73"/>
    <w:rsid w:val="00C26F82"/>
    <w:rsid w:val="00C27D84"/>
    <w:rsid w:val="00C27EF7"/>
    <w:rsid w:val="00C3036D"/>
    <w:rsid w:val="00C31827"/>
    <w:rsid w:val="00C339F0"/>
    <w:rsid w:val="00C34FFB"/>
    <w:rsid w:val="00C427E0"/>
    <w:rsid w:val="00C43C18"/>
    <w:rsid w:val="00C446B6"/>
    <w:rsid w:val="00C454C8"/>
    <w:rsid w:val="00C478EA"/>
    <w:rsid w:val="00C50F87"/>
    <w:rsid w:val="00C51B46"/>
    <w:rsid w:val="00C5285E"/>
    <w:rsid w:val="00C5447E"/>
    <w:rsid w:val="00C54CA1"/>
    <w:rsid w:val="00C60782"/>
    <w:rsid w:val="00C61931"/>
    <w:rsid w:val="00C62C69"/>
    <w:rsid w:val="00C631E2"/>
    <w:rsid w:val="00C6388F"/>
    <w:rsid w:val="00C65092"/>
    <w:rsid w:val="00C72756"/>
    <w:rsid w:val="00C72963"/>
    <w:rsid w:val="00C7311A"/>
    <w:rsid w:val="00C748A0"/>
    <w:rsid w:val="00C75EBB"/>
    <w:rsid w:val="00C76812"/>
    <w:rsid w:val="00C77A41"/>
    <w:rsid w:val="00C81759"/>
    <w:rsid w:val="00C841AB"/>
    <w:rsid w:val="00C84B3F"/>
    <w:rsid w:val="00C86085"/>
    <w:rsid w:val="00C86EF5"/>
    <w:rsid w:val="00C96F07"/>
    <w:rsid w:val="00C97EE3"/>
    <w:rsid w:val="00CA09F0"/>
    <w:rsid w:val="00CA2272"/>
    <w:rsid w:val="00CA367C"/>
    <w:rsid w:val="00CA4ECE"/>
    <w:rsid w:val="00CB01BE"/>
    <w:rsid w:val="00CB6436"/>
    <w:rsid w:val="00CB71BB"/>
    <w:rsid w:val="00CC21C2"/>
    <w:rsid w:val="00CC441D"/>
    <w:rsid w:val="00CC442E"/>
    <w:rsid w:val="00CC4570"/>
    <w:rsid w:val="00CC4AEB"/>
    <w:rsid w:val="00CC6548"/>
    <w:rsid w:val="00CD10F1"/>
    <w:rsid w:val="00CD3179"/>
    <w:rsid w:val="00CD4911"/>
    <w:rsid w:val="00CD5F5A"/>
    <w:rsid w:val="00CD699B"/>
    <w:rsid w:val="00CE0FFC"/>
    <w:rsid w:val="00CE3525"/>
    <w:rsid w:val="00CE3972"/>
    <w:rsid w:val="00CF2F5C"/>
    <w:rsid w:val="00CF43E7"/>
    <w:rsid w:val="00CF4470"/>
    <w:rsid w:val="00CF4870"/>
    <w:rsid w:val="00D00124"/>
    <w:rsid w:val="00D0112F"/>
    <w:rsid w:val="00D014A6"/>
    <w:rsid w:val="00D0396F"/>
    <w:rsid w:val="00D04ECC"/>
    <w:rsid w:val="00D07BD0"/>
    <w:rsid w:val="00D07DFD"/>
    <w:rsid w:val="00D121CF"/>
    <w:rsid w:val="00D152FC"/>
    <w:rsid w:val="00D17307"/>
    <w:rsid w:val="00D200B2"/>
    <w:rsid w:val="00D202BA"/>
    <w:rsid w:val="00D21C03"/>
    <w:rsid w:val="00D22796"/>
    <w:rsid w:val="00D22BD7"/>
    <w:rsid w:val="00D26888"/>
    <w:rsid w:val="00D30579"/>
    <w:rsid w:val="00D3084C"/>
    <w:rsid w:val="00D31299"/>
    <w:rsid w:val="00D3350E"/>
    <w:rsid w:val="00D33D56"/>
    <w:rsid w:val="00D35390"/>
    <w:rsid w:val="00D360CC"/>
    <w:rsid w:val="00D37F1B"/>
    <w:rsid w:val="00D43023"/>
    <w:rsid w:val="00D4723F"/>
    <w:rsid w:val="00D52337"/>
    <w:rsid w:val="00D52E31"/>
    <w:rsid w:val="00D530A6"/>
    <w:rsid w:val="00D53469"/>
    <w:rsid w:val="00D54682"/>
    <w:rsid w:val="00D56167"/>
    <w:rsid w:val="00D6208B"/>
    <w:rsid w:val="00D66B17"/>
    <w:rsid w:val="00D66DBC"/>
    <w:rsid w:val="00D7510C"/>
    <w:rsid w:val="00D76C94"/>
    <w:rsid w:val="00D773DD"/>
    <w:rsid w:val="00D81DD8"/>
    <w:rsid w:val="00D8467D"/>
    <w:rsid w:val="00D8717C"/>
    <w:rsid w:val="00D87C6B"/>
    <w:rsid w:val="00D92C3B"/>
    <w:rsid w:val="00D93A20"/>
    <w:rsid w:val="00D93FFA"/>
    <w:rsid w:val="00D9423D"/>
    <w:rsid w:val="00D95024"/>
    <w:rsid w:val="00DA155B"/>
    <w:rsid w:val="00DA164F"/>
    <w:rsid w:val="00DA4405"/>
    <w:rsid w:val="00DB118C"/>
    <w:rsid w:val="00DB1AB1"/>
    <w:rsid w:val="00DB3ABC"/>
    <w:rsid w:val="00DB53A0"/>
    <w:rsid w:val="00DB580D"/>
    <w:rsid w:val="00DC0643"/>
    <w:rsid w:val="00DC1EFA"/>
    <w:rsid w:val="00DC2E6D"/>
    <w:rsid w:val="00DC55C9"/>
    <w:rsid w:val="00DC5BB7"/>
    <w:rsid w:val="00DC5DC3"/>
    <w:rsid w:val="00DC61AA"/>
    <w:rsid w:val="00DD0B49"/>
    <w:rsid w:val="00DD1287"/>
    <w:rsid w:val="00DD2514"/>
    <w:rsid w:val="00DD2985"/>
    <w:rsid w:val="00DE20DC"/>
    <w:rsid w:val="00DE2B94"/>
    <w:rsid w:val="00DE31EB"/>
    <w:rsid w:val="00DE695F"/>
    <w:rsid w:val="00DE6BB0"/>
    <w:rsid w:val="00DF0D80"/>
    <w:rsid w:val="00DF1470"/>
    <w:rsid w:val="00DF2DE1"/>
    <w:rsid w:val="00DF300B"/>
    <w:rsid w:val="00DF57A4"/>
    <w:rsid w:val="00DF7393"/>
    <w:rsid w:val="00E001FD"/>
    <w:rsid w:val="00E02BF7"/>
    <w:rsid w:val="00E039E1"/>
    <w:rsid w:val="00E04CB3"/>
    <w:rsid w:val="00E069D4"/>
    <w:rsid w:val="00E1154C"/>
    <w:rsid w:val="00E124D2"/>
    <w:rsid w:val="00E128CA"/>
    <w:rsid w:val="00E12BEE"/>
    <w:rsid w:val="00E145B0"/>
    <w:rsid w:val="00E1460A"/>
    <w:rsid w:val="00E15E94"/>
    <w:rsid w:val="00E23E4A"/>
    <w:rsid w:val="00E2426F"/>
    <w:rsid w:val="00E24305"/>
    <w:rsid w:val="00E2434D"/>
    <w:rsid w:val="00E27742"/>
    <w:rsid w:val="00E30D86"/>
    <w:rsid w:val="00E3169F"/>
    <w:rsid w:val="00E34344"/>
    <w:rsid w:val="00E36757"/>
    <w:rsid w:val="00E41C6B"/>
    <w:rsid w:val="00E427A4"/>
    <w:rsid w:val="00E431C1"/>
    <w:rsid w:val="00E4389A"/>
    <w:rsid w:val="00E46643"/>
    <w:rsid w:val="00E50AC7"/>
    <w:rsid w:val="00E52092"/>
    <w:rsid w:val="00E56309"/>
    <w:rsid w:val="00E57C2F"/>
    <w:rsid w:val="00E60CE1"/>
    <w:rsid w:val="00E648C1"/>
    <w:rsid w:val="00E67484"/>
    <w:rsid w:val="00E674D4"/>
    <w:rsid w:val="00E6777D"/>
    <w:rsid w:val="00E67D60"/>
    <w:rsid w:val="00E73B33"/>
    <w:rsid w:val="00E75A10"/>
    <w:rsid w:val="00E80F5C"/>
    <w:rsid w:val="00E81928"/>
    <w:rsid w:val="00E81AFF"/>
    <w:rsid w:val="00E8673A"/>
    <w:rsid w:val="00E86AB6"/>
    <w:rsid w:val="00E87ADE"/>
    <w:rsid w:val="00E92B12"/>
    <w:rsid w:val="00E94A41"/>
    <w:rsid w:val="00E97ED9"/>
    <w:rsid w:val="00EA1BE5"/>
    <w:rsid w:val="00EA32FF"/>
    <w:rsid w:val="00EA5DCE"/>
    <w:rsid w:val="00EA6348"/>
    <w:rsid w:val="00EB2260"/>
    <w:rsid w:val="00EB2C08"/>
    <w:rsid w:val="00EB2DB4"/>
    <w:rsid w:val="00EB4C31"/>
    <w:rsid w:val="00EB5EC2"/>
    <w:rsid w:val="00EC0B6C"/>
    <w:rsid w:val="00EC28EB"/>
    <w:rsid w:val="00EC3600"/>
    <w:rsid w:val="00EC37E9"/>
    <w:rsid w:val="00EC4635"/>
    <w:rsid w:val="00EC4C57"/>
    <w:rsid w:val="00EC5922"/>
    <w:rsid w:val="00ED22DD"/>
    <w:rsid w:val="00ED604C"/>
    <w:rsid w:val="00ED65A8"/>
    <w:rsid w:val="00ED7D40"/>
    <w:rsid w:val="00EE15FA"/>
    <w:rsid w:val="00EE3B0A"/>
    <w:rsid w:val="00EE4271"/>
    <w:rsid w:val="00EE4825"/>
    <w:rsid w:val="00EE5365"/>
    <w:rsid w:val="00EE7DDB"/>
    <w:rsid w:val="00EF23FB"/>
    <w:rsid w:val="00EF4980"/>
    <w:rsid w:val="00EF4CC0"/>
    <w:rsid w:val="00EF72F7"/>
    <w:rsid w:val="00F00978"/>
    <w:rsid w:val="00F0200B"/>
    <w:rsid w:val="00F02351"/>
    <w:rsid w:val="00F03D72"/>
    <w:rsid w:val="00F053F3"/>
    <w:rsid w:val="00F07205"/>
    <w:rsid w:val="00F14723"/>
    <w:rsid w:val="00F148BC"/>
    <w:rsid w:val="00F17B65"/>
    <w:rsid w:val="00F20189"/>
    <w:rsid w:val="00F20359"/>
    <w:rsid w:val="00F207E3"/>
    <w:rsid w:val="00F223A1"/>
    <w:rsid w:val="00F2306E"/>
    <w:rsid w:val="00F246C8"/>
    <w:rsid w:val="00F278AE"/>
    <w:rsid w:val="00F30F74"/>
    <w:rsid w:val="00F31781"/>
    <w:rsid w:val="00F3257C"/>
    <w:rsid w:val="00F346F7"/>
    <w:rsid w:val="00F35C74"/>
    <w:rsid w:val="00F400F7"/>
    <w:rsid w:val="00F41D45"/>
    <w:rsid w:val="00F43221"/>
    <w:rsid w:val="00F43C59"/>
    <w:rsid w:val="00F44A6B"/>
    <w:rsid w:val="00F5291A"/>
    <w:rsid w:val="00F562C3"/>
    <w:rsid w:val="00F6092E"/>
    <w:rsid w:val="00F63B48"/>
    <w:rsid w:val="00F64900"/>
    <w:rsid w:val="00F66380"/>
    <w:rsid w:val="00F70524"/>
    <w:rsid w:val="00F730CC"/>
    <w:rsid w:val="00F73DA5"/>
    <w:rsid w:val="00F76ECB"/>
    <w:rsid w:val="00F8038B"/>
    <w:rsid w:val="00F8285E"/>
    <w:rsid w:val="00F9018D"/>
    <w:rsid w:val="00F92A39"/>
    <w:rsid w:val="00F96615"/>
    <w:rsid w:val="00F96E4F"/>
    <w:rsid w:val="00FA01D1"/>
    <w:rsid w:val="00FA051B"/>
    <w:rsid w:val="00FA2CEA"/>
    <w:rsid w:val="00FA6963"/>
    <w:rsid w:val="00FA6BCA"/>
    <w:rsid w:val="00FA71F5"/>
    <w:rsid w:val="00FB18DD"/>
    <w:rsid w:val="00FB230B"/>
    <w:rsid w:val="00FB3C1D"/>
    <w:rsid w:val="00FB4DD0"/>
    <w:rsid w:val="00FB593B"/>
    <w:rsid w:val="00FC19C6"/>
    <w:rsid w:val="00FC2301"/>
    <w:rsid w:val="00FC26CD"/>
    <w:rsid w:val="00FC3BD0"/>
    <w:rsid w:val="00FC51B2"/>
    <w:rsid w:val="00FC6C9E"/>
    <w:rsid w:val="00FD4A7A"/>
    <w:rsid w:val="00FE1E0D"/>
    <w:rsid w:val="00FE5A94"/>
    <w:rsid w:val="00FE62E9"/>
    <w:rsid w:val="00FE68BF"/>
    <w:rsid w:val="00FE7D80"/>
    <w:rsid w:val="00FF07E0"/>
    <w:rsid w:val="00FF1C86"/>
    <w:rsid w:val="00FF26A3"/>
    <w:rsid w:val="00FF4021"/>
    <w:rsid w:val="00FF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7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AE"/>
    <w:rPr>
      <w:rFonts w:ascii="Gill Sans MT" w:hAnsi="Gill Sans MT"/>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AE"/>
    <w:rPr>
      <w:rFonts w:ascii="Gill Sans MT" w:hAnsi="Gill Sans MT"/>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0917-50C2-478C-BA87-7F2778FC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466D4A6C</Template>
  <TotalTime>0</TotalTime>
  <Pages>5</Pages>
  <Words>2019</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West Oxfordshire District Council</Company>
  <LinksUpToDate>false</LinksUpToDate>
  <CharactersWithSpaces>12966</CharactersWithSpaces>
  <SharedDoc>false</SharedDoc>
  <HLinks>
    <vt:vector size="6" baseType="variant">
      <vt:variant>
        <vt:i4>1441838</vt:i4>
      </vt:variant>
      <vt:variant>
        <vt:i4>0</vt:i4>
      </vt:variant>
      <vt:variant>
        <vt:i4>0</vt:i4>
      </vt:variant>
      <vt:variant>
        <vt:i4>5</vt:i4>
      </vt:variant>
      <vt:variant>
        <vt:lpwstr/>
      </vt:variant>
      <vt:variant>
        <vt:lpwstr>_Appendix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mwillis</dc:creator>
  <cp:lastModifiedBy>pstaines</cp:lastModifiedBy>
  <cp:revision>2</cp:revision>
  <cp:lastPrinted>2017-12-18T15:31:00Z</cp:lastPrinted>
  <dcterms:created xsi:type="dcterms:W3CDTF">2018-01-30T12:19:00Z</dcterms:created>
  <dcterms:modified xsi:type="dcterms:W3CDTF">2018-01-30T12:19:00Z</dcterms:modified>
</cp:coreProperties>
</file>